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2A1744" w14:textId="77777777" w:rsidR="006430B8" w:rsidRPr="00F24466" w:rsidRDefault="006430B8" w:rsidP="00F24466">
      <w:pPr>
        <w:pBdr>
          <w:top w:val="single" w:sz="4" w:space="1" w:color="auto"/>
          <w:bottom w:val="single" w:sz="4" w:space="1" w:color="auto"/>
        </w:pBdr>
        <w:shd w:val="clear" w:color="auto" w:fill="DEEAF6" w:themeFill="accent1" w:themeFillTint="33"/>
        <w:rPr>
          <w:b/>
          <w:sz w:val="24"/>
          <w:szCs w:val="24"/>
        </w:rPr>
      </w:pPr>
      <w:r w:rsidRPr="00F24466">
        <w:rPr>
          <w:b/>
          <w:sz w:val="24"/>
          <w:szCs w:val="24"/>
        </w:rPr>
        <w:t>012 DRŽAVNO IZBORNO POVJERENSTVO REPUBLIKE HRVATSKE</w:t>
      </w:r>
    </w:p>
    <w:p w14:paraId="5ECB9293" w14:textId="77777777" w:rsidR="006430B8" w:rsidRPr="00F24466" w:rsidRDefault="006430B8" w:rsidP="00F24466">
      <w:pPr>
        <w:pBdr>
          <w:top w:val="single" w:sz="4" w:space="1" w:color="auto"/>
          <w:bottom w:val="single" w:sz="4" w:space="1" w:color="auto"/>
        </w:pBdr>
        <w:shd w:val="clear" w:color="auto" w:fill="DEEAF6" w:themeFill="accent1" w:themeFillTint="33"/>
        <w:rPr>
          <w:b/>
          <w:sz w:val="24"/>
          <w:szCs w:val="24"/>
        </w:rPr>
      </w:pPr>
      <w:r w:rsidRPr="00F24466">
        <w:rPr>
          <w:b/>
          <w:sz w:val="24"/>
          <w:szCs w:val="24"/>
        </w:rPr>
        <w:t>01205 Državno izborno povjerenstvo Republike Hrvatske</w:t>
      </w:r>
    </w:p>
    <w:p w14:paraId="42C2E971" w14:textId="77777777" w:rsidR="006430B8" w:rsidRPr="00F24466" w:rsidRDefault="006430B8" w:rsidP="00F24466">
      <w:pPr>
        <w:pBdr>
          <w:top w:val="single" w:sz="4" w:space="1" w:color="auto"/>
          <w:bottom w:val="single" w:sz="4" w:space="1" w:color="auto"/>
        </w:pBdr>
        <w:shd w:val="clear" w:color="auto" w:fill="DEEAF6" w:themeFill="accent1" w:themeFillTint="33"/>
        <w:rPr>
          <w:b/>
          <w:sz w:val="24"/>
          <w:szCs w:val="24"/>
        </w:rPr>
      </w:pPr>
      <w:r w:rsidRPr="00F24466">
        <w:rPr>
          <w:b/>
          <w:sz w:val="24"/>
          <w:szCs w:val="24"/>
        </w:rPr>
        <w:t>RKP broj: 42434</w:t>
      </w:r>
    </w:p>
    <w:p w14:paraId="4A827E4C" w14:textId="77777777" w:rsidR="00CE4D35" w:rsidRDefault="00CE4D35" w:rsidP="00CE4D35">
      <w:pPr>
        <w:spacing w:after="0" w:line="276" w:lineRule="auto"/>
        <w:jc w:val="center"/>
        <w:rPr>
          <w:b/>
          <w:sz w:val="24"/>
          <w:szCs w:val="24"/>
        </w:rPr>
      </w:pPr>
    </w:p>
    <w:p w14:paraId="0B34192E" w14:textId="77777777" w:rsidR="00CE4D35" w:rsidRDefault="00CE4D35" w:rsidP="00CE4D35">
      <w:pPr>
        <w:spacing w:after="0" w:line="276" w:lineRule="auto"/>
        <w:jc w:val="center"/>
        <w:rPr>
          <w:b/>
          <w:sz w:val="24"/>
          <w:szCs w:val="24"/>
          <w:lang w:val="hr-HR"/>
        </w:rPr>
      </w:pPr>
      <w:r>
        <w:rPr>
          <w:b/>
          <w:sz w:val="24"/>
          <w:szCs w:val="24"/>
        </w:rPr>
        <w:t xml:space="preserve">OBRAZLOŽENJE OPĆEG DIJELA IZVJEŠTAJA O IZVRŠENJU </w:t>
      </w:r>
    </w:p>
    <w:p w14:paraId="621736D7" w14:textId="48764FE1" w:rsidR="009A074B" w:rsidRDefault="00CE4D35" w:rsidP="00CE4D35">
      <w:pPr>
        <w:spacing w:after="0" w:line="276" w:lineRule="auto"/>
        <w:jc w:val="center"/>
        <w:rPr>
          <w:b/>
          <w:bCs/>
          <w:sz w:val="24"/>
          <w:szCs w:val="24"/>
        </w:rPr>
      </w:pPr>
      <w:r>
        <w:rPr>
          <w:b/>
          <w:bCs/>
          <w:sz w:val="24"/>
          <w:szCs w:val="24"/>
        </w:rPr>
        <w:t>FINANCIJSKOG PLANA ZA 202</w:t>
      </w:r>
      <w:r w:rsidR="009A074B">
        <w:rPr>
          <w:b/>
          <w:bCs/>
          <w:sz w:val="24"/>
          <w:szCs w:val="24"/>
        </w:rPr>
        <w:t>5</w:t>
      </w:r>
      <w:r w:rsidR="00C61F2D">
        <w:rPr>
          <w:b/>
          <w:bCs/>
          <w:sz w:val="24"/>
          <w:szCs w:val="24"/>
        </w:rPr>
        <w:t>.</w:t>
      </w:r>
    </w:p>
    <w:p w14:paraId="68B6BEF1" w14:textId="77CDCF5B" w:rsidR="00CE4D35" w:rsidRDefault="00CE4D35" w:rsidP="00CE4D35">
      <w:pPr>
        <w:spacing w:after="0" w:line="276" w:lineRule="auto"/>
        <w:jc w:val="center"/>
        <w:rPr>
          <w:b/>
          <w:bCs/>
          <w:sz w:val="24"/>
          <w:szCs w:val="24"/>
        </w:rPr>
      </w:pPr>
    </w:p>
    <w:p w14:paraId="4E5623AC" w14:textId="77777777" w:rsidR="004C2F1B" w:rsidRDefault="004C2F1B" w:rsidP="00CE4D35">
      <w:pPr>
        <w:spacing w:after="0" w:line="276" w:lineRule="auto"/>
        <w:jc w:val="center"/>
        <w:rPr>
          <w:b/>
          <w:bCs/>
          <w:sz w:val="24"/>
          <w:szCs w:val="24"/>
        </w:rPr>
      </w:pPr>
    </w:p>
    <w:p w14:paraId="36682D5C" w14:textId="77777777" w:rsidR="009A074B" w:rsidRDefault="006430B8" w:rsidP="006430B8">
      <w:pPr>
        <w:rPr>
          <w:sz w:val="24"/>
          <w:szCs w:val="24"/>
        </w:rPr>
      </w:pPr>
      <w:r w:rsidRPr="00855AD5">
        <w:rPr>
          <w:sz w:val="24"/>
          <w:szCs w:val="24"/>
        </w:rPr>
        <w:t>Državno izborno povjerenstvo Republike Hrvatske (dalje: Državno izborno povjerenstvo) je stalno i neovisno državno tijelo koje obavlja poslove iz svog djelokruga u skladu sa Zakonom o Državnom izbornom povjerenstvu Republike Hrvatske te zakonima kojima je regulirana provedba izbora u Republici Hrvatskoj, kao i provedba državnog, lokalnog i savjetodavnog referenduma.</w:t>
      </w:r>
      <w:r w:rsidR="00B03C42">
        <w:rPr>
          <w:sz w:val="24"/>
          <w:szCs w:val="24"/>
        </w:rPr>
        <w:t xml:space="preserve"> Nadležnost Državnog izbornog povjerenstva u provedbi nadzora financ</w:t>
      </w:r>
      <w:r w:rsidR="00714D07">
        <w:rPr>
          <w:sz w:val="24"/>
          <w:szCs w:val="24"/>
        </w:rPr>
        <w:t>iranja političkih aktivnosti, i</w:t>
      </w:r>
      <w:r w:rsidR="00B03C42">
        <w:rPr>
          <w:sz w:val="24"/>
          <w:szCs w:val="24"/>
        </w:rPr>
        <w:t xml:space="preserve">zborne promidžbe i referenduma propisana je Zakonom o financiranju političkih aktivnosti, izborne promidžbe i referenduma. </w:t>
      </w:r>
    </w:p>
    <w:p w14:paraId="25425D98" w14:textId="72A1CBFB" w:rsidR="006430B8" w:rsidRPr="009A074B" w:rsidRDefault="006430B8" w:rsidP="006430B8">
      <w:pPr>
        <w:rPr>
          <w:sz w:val="24"/>
          <w:szCs w:val="24"/>
        </w:rPr>
      </w:pPr>
      <w:r w:rsidRPr="005B7615">
        <w:rPr>
          <w:sz w:val="24"/>
          <w:szCs w:val="24"/>
        </w:rPr>
        <w:t>Nadležnost</w:t>
      </w:r>
      <w:r w:rsidR="009A074B">
        <w:rPr>
          <w:sz w:val="24"/>
          <w:szCs w:val="24"/>
        </w:rPr>
        <w:t xml:space="preserve"> Državnog izbornog povjerenstva </w:t>
      </w:r>
      <w:r w:rsidR="00235C82">
        <w:rPr>
          <w:sz w:val="24"/>
          <w:szCs w:val="24"/>
        </w:rPr>
        <w:t xml:space="preserve">dijeli </w:t>
      </w:r>
      <w:r w:rsidR="009A074B">
        <w:rPr>
          <w:sz w:val="24"/>
          <w:szCs w:val="24"/>
        </w:rPr>
        <w:t xml:space="preserve">se </w:t>
      </w:r>
      <w:r w:rsidRPr="005B7615">
        <w:rPr>
          <w:sz w:val="24"/>
          <w:szCs w:val="24"/>
        </w:rPr>
        <w:t xml:space="preserve">na: nadležnost koja se odnosi na provedbu izbora i referenduma; nadležnost koja se odnosi na provedbu nadzora financiranja političkih aktivnosti, izborne promidžbe i referenduma i na ostale nadležnosti </w:t>
      </w:r>
      <w:r w:rsidRPr="009A074B">
        <w:rPr>
          <w:sz w:val="24"/>
          <w:szCs w:val="24"/>
        </w:rPr>
        <w:t>propisane člankom 11. st. 2. Zakona o Državnom izbornom povjerenstvu Republike Hrvatske.</w:t>
      </w:r>
    </w:p>
    <w:p w14:paraId="267D8952" w14:textId="0D33BC91" w:rsidR="009A074B" w:rsidRDefault="009A074B" w:rsidP="00CE4D35">
      <w:pPr>
        <w:rPr>
          <w:sz w:val="24"/>
          <w:szCs w:val="24"/>
        </w:rPr>
      </w:pPr>
      <w:r w:rsidRPr="009A074B">
        <w:rPr>
          <w:sz w:val="24"/>
          <w:szCs w:val="24"/>
        </w:rPr>
        <w:t xml:space="preserve">Sredstva za rad Državnog izbornog povjerenstva osiguravaju se u državnom proračunu </w:t>
      </w:r>
      <w:r>
        <w:rPr>
          <w:sz w:val="24"/>
          <w:szCs w:val="24"/>
        </w:rPr>
        <w:t xml:space="preserve">Republike Hrvatske </w:t>
      </w:r>
      <w:r w:rsidRPr="009A074B">
        <w:rPr>
          <w:sz w:val="24"/>
          <w:szCs w:val="24"/>
        </w:rPr>
        <w:t xml:space="preserve">na </w:t>
      </w:r>
      <w:r>
        <w:rPr>
          <w:sz w:val="24"/>
          <w:szCs w:val="24"/>
        </w:rPr>
        <w:t>r</w:t>
      </w:r>
      <w:r w:rsidRPr="009A074B">
        <w:rPr>
          <w:sz w:val="24"/>
          <w:szCs w:val="24"/>
        </w:rPr>
        <w:t>azdjelu</w:t>
      </w:r>
      <w:r w:rsidR="009B1812">
        <w:rPr>
          <w:sz w:val="24"/>
          <w:szCs w:val="24"/>
        </w:rPr>
        <w:t xml:space="preserve"> 012 na glavi</w:t>
      </w:r>
      <w:r w:rsidRPr="009A074B">
        <w:rPr>
          <w:sz w:val="24"/>
          <w:szCs w:val="24"/>
        </w:rPr>
        <w:t xml:space="preserve"> 012</w:t>
      </w:r>
      <w:r w:rsidR="009B1812">
        <w:rPr>
          <w:sz w:val="24"/>
          <w:szCs w:val="24"/>
        </w:rPr>
        <w:t>05 Državno izborno povjerenstvo Republike Hrvatske, te u svojoj nadležnosti nema drugih proračunskih korisnika</w:t>
      </w:r>
    </w:p>
    <w:p w14:paraId="14D5C458" w14:textId="77777777" w:rsidR="009B1812" w:rsidRDefault="009B1812" w:rsidP="00CE4D35">
      <w:pPr>
        <w:rPr>
          <w:sz w:val="24"/>
          <w:szCs w:val="24"/>
        </w:rPr>
      </w:pPr>
    </w:p>
    <w:p w14:paraId="62F57B44" w14:textId="5AC72FB1" w:rsidR="006430B8" w:rsidRPr="00400AD6" w:rsidRDefault="006430B8" w:rsidP="00CE4D35">
      <w:pPr>
        <w:rPr>
          <w:b/>
          <w:i/>
          <w:sz w:val="24"/>
          <w:szCs w:val="24"/>
        </w:rPr>
      </w:pPr>
      <w:r w:rsidRPr="00400AD6">
        <w:rPr>
          <w:b/>
          <w:i/>
          <w:sz w:val="24"/>
          <w:szCs w:val="24"/>
        </w:rPr>
        <w:t>Obrazloženje ostvarenja prihoda i rashoda, primitaka i izdataka u izvještajnom razdoblju</w:t>
      </w:r>
    </w:p>
    <w:p w14:paraId="7E86D69C" w14:textId="4E14F0AC" w:rsidR="006430B8" w:rsidRDefault="006430B8" w:rsidP="006430B8">
      <w:pPr>
        <w:spacing w:after="0"/>
        <w:rPr>
          <w:sz w:val="24"/>
          <w:szCs w:val="24"/>
        </w:rPr>
      </w:pPr>
      <w:r w:rsidRPr="00855AD5">
        <w:rPr>
          <w:sz w:val="24"/>
          <w:szCs w:val="24"/>
        </w:rPr>
        <w:t>Struktura</w:t>
      </w:r>
      <w:r>
        <w:rPr>
          <w:sz w:val="24"/>
          <w:szCs w:val="24"/>
        </w:rPr>
        <w:t xml:space="preserve"> izvršenja</w:t>
      </w:r>
      <w:r w:rsidRPr="00855AD5">
        <w:rPr>
          <w:sz w:val="24"/>
          <w:szCs w:val="24"/>
        </w:rPr>
        <w:t xml:space="preserve"> financijskog plana Državnog izbornog povjerenstva za razdoblje </w:t>
      </w:r>
      <w:r>
        <w:rPr>
          <w:sz w:val="24"/>
          <w:szCs w:val="24"/>
        </w:rPr>
        <w:t>1.1. – 3</w:t>
      </w:r>
      <w:r w:rsidR="006C5D7C">
        <w:rPr>
          <w:sz w:val="24"/>
          <w:szCs w:val="24"/>
        </w:rPr>
        <w:t>1</w:t>
      </w:r>
      <w:r>
        <w:rPr>
          <w:sz w:val="24"/>
          <w:szCs w:val="24"/>
        </w:rPr>
        <w:t>.</w:t>
      </w:r>
      <w:r w:rsidR="006C5D7C">
        <w:rPr>
          <w:sz w:val="24"/>
          <w:szCs w:val="24"/>
        </w:rPr>
        <w:t>12</w:t>
      </w:r>
      <w:r>
        <w:rPr>
          <w:sz w:val="24"/>
          <w:szCs w:val="24"/>
        </w:rPr>
        <w:t>.202</w:t>
      </w:r>
      <w:r w:rsidR="00235C82">
        <w:rPr>
          <w:sz w:val="24"/>
          <w:szCs w:val="24"/>
        </w:rPr>
        <w:t>5</w:t>
      </w:r>
      <w:r>
        <w:rPr>
          <w:sz w:val="24"/>
          <w:szCs w:val="24"/>
        </w:rPr>
        <w:t>.</w:t>
      </w:r>
      <w:r w:rsidRPr="00855AD5">
        <w:rPr>
          <w:sz w:val="24"/>
          <w:szCs w:val="24"/>
        </w:rPr>
        <w:t xml:space="preserve"> iskazana je u tablici kako slijedi:</w:t>
      </w:r>
    </w:p>
    <w:p w14:paraId="15E428FE" w14:textId="77777777" w:rsidR="006430B8" w:rsidRDefault="006430B8" w:rsidP="006430B8">
      <w:pPr>
        <w:spacing w:after="0"/>
        <w:rPr>
          <w:sz w:val="24"/>
          <w:szCs w:val="24"/>
        </w:rPr>
      </w:pP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1559"/>
        <w:gridCol w:w="1560"/>
        <w:gridCol w:w="1276"/>
        <w:gridCol w:w="1453"/>
        <w:gridCol w:w="956"/>
        <w:gridCol w:w="992"/>
      </w:tblGrid>
      <w:tr w:rsidR="006430B8" w:rsidRPr="00FC4A3A" w14:paraId="429A54CA" w14:textId="77777777" w:rsidTr="005D2653">
        <w:trPr>
          <w:trHeight w:val="833"/>
        </w:trPr>
        <w:tc>
          <w:tcPr>
            <w:tcW w:w="2269" w:type="dxa"/>
            <w:shd w:val="clear" w:color="auto" w:fill="DEEAF6" w:themeFill="accent1" w:themeFillTint="33"/>
            <w:vAlign w:val="center"/>
            <w:hideMark/>
          </w:tcPr>
          <w:p w14:paraId="6D0557BC" w14:textId="77777777" w:rsidR="006430B8" w:rsidRPr="00960855" w:rsidRDefault="006430B8" w:rsidP="0020610B">
            <w:pPr>
              <w:overflowPunct/>
              <w:autoSpaceDE/>
              <w:autoSpaceDN/>
              <w:adjustRightInd/>
              <w:spacing w:after="0"/>
              <w:jc w:val="center"/>
              <w:textAlignment w:val="auto"/>
              <w:rPr>
                <w:b/>
                <w:bCs/>
                <w:sz w:val="18"/>
                <w:szCs w:val="18"/>
                <w:lang w:val="hr-HR" w:eastAsia="hr-HR"/>
              </w:rPr>
            </w:pPr>
            <w:r w:rsidRPr="00960855">
              <w:rPr>
                <w:b/>
                <w:bCs/>
                <w:sz w:val="18"/>
                <w:szCs w:val="18"/>
                <w:lang w:val="hr-HR" w:eastAsia="hr-HR"/>
              </w:rPr>
              <w:t xml:space="preserve">PRIHODI/RASHODI </w:t>
            </w:r>
          </w:p>
        </w:tc>
        <w:tc>
          <w:tcPr>
            <w:tcW w:w="1559" w:type="dxa"/>
            <w:shd w:val="clear" w:color="auto" w:fill="DEEAF6" w:themeFill="accent1" w:themeFillTint="33"/>
            <w:vAlign w:val="center"/>
            <w:hideMark/>
          </w:tcPr>
          <w:p w14:paraId="0103C1BC" w14:textId="53B0DD20" w:rsidR="006430B8" w:rsidRPr="00960855" w:rsidRDefault="006430B8" w:rsidP="00235C82">
            <w:pPr>
              <w:overflowPunct/>
              <w:autoSpaceDE/>
              <w:autoSpaceDN/>
              <w:adjustRightInd/>
              <w:spacing w:after="0"/>
              <w:jc w:val="center"/>
              <w:textAlignment w:val="auto"/>
              <w:rPr>
                <w:b/>
                <w:bCs/>
                <w:sz w:val="18"/>
                <w:szCs w:val="18"/>
                <w:lang w:val="hr-HR" w:eastAsia="hr-HR"/>
              </w:rPr>
            </w:pPr>
            <w:r w:rsidRPr="00960855">
              <w:rPr>
                <w:b/>
                <w:bCs/>
                <w:sz w:val="18"/>
                <w:szCs w:val="18"/>
                <w:lang w:val="hr-HR" w:eastAsia="hr-HR"/>
              </w:rPr>
              <w:t>OSTVARENJE</w:t>
            </w:r>
            <w:r>
              <w:rPr>
                <w:b/>
                <w:bCs/>
                <w:sz w:val="18"/>
                <w:szCs w:val="18"/>
                <w:lang w:val="hr-HR" w:eastAsia="hr-HR"/>
              </w:rPr>
              <w:t xml:space="preserve"> / </w:t>
            </w:r>
            <w:r w:rsidR="006C5D7C">
              <w:rPr>
                <w:b/>
                <w:bCs/>
                <w:sz w:val="18"/>
                <w:szCs w:val="18"/>
                <w:lang w:val="hr-HR" w:eastAsia="hr-HR"/>
              </w:rPr>
              <w:t>IZVRŠENJ</w:t>
            </w:r>
            <w:r w:rsidR="00235C82">
              <w:rPr>
                <w:b/>
                <w:bCs/>
                <w:sz w:val="18"/>
                <w:szCs w:val="18"/>
                <w:lang w:val="hr-HR" w:eastAsia="hr-HR"/>
              </w:rPr>
              <w:t>E  0</w:t>
            </w:r>
            <w:r w:rsidR="006C5D7C">
              <w:rPr>
                <w:b/>
                <w:bCs/>
                <w:sz w:val="18"/>
                <w:szCs w:val="18"/>
                <w:lang w:val="hr-HR" w:eastAsia="hr-HR"/>
              </w:rPr>
              <w:t>1.-12</w:t>
            </w:r>
            <w:r w:rsidRPr="00960855">
              <w:rPr>
                <w:b/>
                <w:bCs/>
                <w:sz w:val="18"/>
                <w:szCs w:val="18"/>
                <w:lang w:val="hr-HR" w:eastAsia="hr-HR"/>
              </w:rPr>
              <w:t>.202</w:t>
            </w:r>
            <w:r w:rsidR="00235C82">
              <w:rPr>
                <w:b/>
                <w:bCs/>
                <w:sz w:val="18"/>
                <w:szCs w:val="18"/>
                <w:lang w:val="hr-HR" w:eastAsia="hr-HR"/>
              </w:rPr>
              <w:t>4</w:t>
            </w:r>
            <w:r w:rsidRPr="00960855">
              <w:rPr>
                <w:b/>
                <w:bCs/>
                <w:sz w:val="18"/>
                <w:szCs w:val="18"/>
                <w:lang w:val="hr-HR" w:eastAsia="hr-HR"/>
              </w:rPr>
              <w:t>.</w:t>
            </w:r>
          </w:p>
        </w:tc>
        <w:tc>
          <w:tcPr>
            <w:tcW w:w="1560" w:type="dxa"/>
            <w:shd w:val="clear" w:color="auto" w:fill="DEEAF6" w:themeFill="accent1" w:themeFillTint="33"/>
            <w:vAlign w:val="center"/>
            <w:hideMark/>
          </w:tcPr>
          <w:p w14:paraId="082BF549" w14:textId="4D1FCBCD" w:rsidR="006430B8" w:rsidRPr="00960855" w:rsidRDefault="006430B8" w:rsidP="0020610B">
            <w:pPr>
              <w:overflowPunct/>
              <w:autoSpaceDE/>
              <w:autoSpaceDN/>
              <w:adjustRightInd/>
              <w:spacing w:after="0"/>
              <w:jc w:val="center"/>
              <w:textAlignment w:val="auto"/>
              <w:rPr>
                <w:b/>
                <w:bCs/>
                <w:sz w:val="18"/>
                <w:szCs w:val="18"/>
                <w:lang w:val="hr-HR" w:eastAsia="hr-HR"/>
              </w:rPr>
            </w:pPr>
            <w:r w:rsidRPr="00960855">
              <w:rPr>
                <w:b/>
                <w:bCs/>
                <w:sz w:val="18"/>
                <w:szCs w:val="18"/>
                <w:lang w:val="hr-HR" w:eastAsia="hr-HR"/>
              </w:rPr>
              <w:t>IZVORNI PLAN ILI REBALANS 202</w:t>
            </w:r>
            <w:r w:rsidR="00235C82">
              <w:rPr>
                <w:b/>
                <w:bCs/>
                <w:sz w:val="18"/>
                <w:szCs w:val="18"/>
                <w:lang w:val="hr-HR" w:eastAsia="hr-HR"/>
              </w:rPr>
              <w:t>5</w:t>
            </w:r>
          </w:p>
        </w:tc>
        <w:tc>
          <w:tcPr>
            <w:tcW w:w="1276" w:type="dxa"/>
            <w:shd w:val="clear" w:color="auto" w:fill="DEEAF6" w:themeFill="accent1" w:themeFillTint="33"/>
            <w:vAlign w:val="center"/>
            <w:hideMark/>
          </w:tcPr>
          <w:p w14:paraId="196D968A" w14:textId="2F769EA7" w:rsidR="006430B8" w:rsidRPr="00960855" w:rsidRDefault="006430B8" w:rsidP="002D57BB">
            <w:pPr>
              <w:overflowPunct/>
              <w:autoSpaceDE/>
              <w:autoSpaceDN/>
              <w:adjustRightInd/>
              <w:spacing w:after="0"/>
              <w:jc w:val="center"/>
              <w:textAlignment w:val="auto"/>
              <w:rPr>
                <w:b/>
                <w:bCs/>
                <w:sz w:val="18"/>
                <w:szCs w:val="18"/>
                <w:lang w:val="hr-HR" w:eastAsia="hr-HR"/>
              </w:rPr>
            </w:pPr>
            <w:r w:rsidRPr="00960855">
              <w:rPr>
                <w:b/>
                <w:bCs/>
                <w:sz w:val="18"/>
                <w:szCs w:val="18"/>
                <w:lang w:val="hr-HR" w:eastAsia="hr-HR"/>
              </w:rPr>
              <w:t>TEKUĆI PLAN 202</w:t>
            </w:r>
            <w:r w:rsidR="00235C82">
              <w:rPr>
                <w:b/>
                <w:bCs/>
                <w:sz w:val="18"/>
                <w:szCs w:val="18"/>
                <w:lang w:val="hr-HR" w:eastAsia="hr-HR"/>
              </w:rPr>
              <w:t>5</w:t>
            </w:r>
          </w:p>
        </w:tc>
        <w:tc>
          <w:tcPr>
            <w:tcW w:w="1453" w:type="dxa"/>
            <w:shd w:val="clear" w:color="auto" w:fill="DEEAF6" w:themeFill="accent1" w:themeFillTint="33"/>
            <w:vAlign w:val="center"/>
            <w:hideMark/>
          </w:tcPr>
          <w:p w14:paraId="1C34E0C6" w14:textId="2B2E259A" w:rsidR="006430B8" w:rsidRPr="00960855" w:rsidRDefault="006C5D7C" w:rsidP="0020610B">
            <w:pPr>
              <w:overflowPunct/>
              <w:autoSpaceDE/>
              <w:autoSpaceDN/>
              <w:adjustRightInd/>
              <w:spacing w:after="0"/>
              <w:jc w:val="center"/>
              <w:textAlignment w:val="auto"/>
              <w:rPr>
                <w:b/>
                <w:bCs/>
                <w:sz w:val="18"/>
                <w:szCs w:val="18"/>
                <w:lang w:val="hr-HR" w:eastAsia="hr-HR"/>
              </w:rPr>
            </w:pPr>
            <w:r>
              <w:rPr>
                <w:b/>
                <w:bCs/>
                <w:sz w:val="18"/>
                <w:szCs w:val="18"/>
                <w:lang w:val="hr-HR" w:eastAsia="hr-HR"/>
              </w:rPr>
              <w:t xml:space="preserve">OSTVARENJE / IZVRŠENJE </w:t>
            </w:r>
            <w:r w:rsidR="00235C82">
              <w:rPr>
                <w:b/>
                <w:bCs/>
                <w:sz w:val="18"/>
                <w:szCs w:val="18"/>
                <w:lang w:val="hr-HR" w:eastAsia="hr-HR"/>
              </w:rPr>
              <w:t>0</w:t>
            </w:r>
            <w:r>
              <w:rPr>
                <w:b/>
                <w:bCs/>
                <w:sz w:val="18"/>
                <w:szCs w:val="18"/>
                <w:lang w:val="hr-HR" w:eastAsia="hr-HR"/>
              </w:rPr>
              <w:t>1.-12</w:t>
            </w:r>
            <w:r w:rsidR="006430B8" w:rsidRPr="00960855">
              <w:rPr>
                <w:b/>
                <w:bCs/>
                <w:sz w:val="18"/>
                <w:szCs w:val="18"/>
                <w:lang w:val="hr-HR" w:eastAsia="hr-HR"/>
              </w:rPr>
              <w:t>.202</w:t>
            </w:r>
            <w:r w:rsidR="00235C82">
              <w:rPr>
                <w:b/>
                <w:bCs/>
                <w:sz w:val="18"/>
                <w:szCs w:val="18"/>
                <w:lang w:val="hr-HR" w:eastAsia="hr-HR"/>
              </w:rPr>
              <w:t>5</w:t>
            </w:r>
            <w:r w:rsidR="006430B8" w:rsidRPr="00960855">
              <w:rPr>
                <w:b/>
                <w:bCs/>
                <w:sz w:val="18"/>
                <w:szCs w:val="18"/>
                <w:lang w:val="hr-HR" w:eastAsia="hr-HR"/>
              </w:rPr>
              <w:t>.</w:t>
            </w:r>
          </w:p>
        </w:tc>
        <w:tc>
          <w:tcPr>
            <w:tcW w:w="956" w:type="dxa"/>
            <w:shd w:val="clear" w:color="auto" w:fill="DEEAF6" w:themeFill="accent1" w:themeFillTint="33"/>
            <w:vAlign w:val="center"/>
            <w:hideMark/>
          </w:tcPr>
          <w:p w14:paraId="339FC357" w14:textId="77777777" w:rsidR="006430B8" w:rsidRPr="00960855" w:rsidRDefault="006430B8" w:rsidP="0020610B">
            <w:pPr>
              <w:overflowPunct/>
              <w:autoSpaceDE/>
              <w:autoSpaceDN/>
              <w:adjustRightInd/>
              <w:spacing w:after="0"/>
              <w:jc w:val="center"/>
              <w:textAlignment w:val="auto"/>
              <w:rPr>
                <w:b/>
                <w:bCs/>
                <w:sz w:val="18"/>
                <w:szCs w:val="18"/>
                <w:lang w:val="hr-HR" w:eastAsia="hr-HR"/>
              </w:rPr>
            </w:pPr>
            <w:r w:rsidRPr="00960855">
              <w:rPr>
                <w:b/>
                <w:bCs/>
                <w:sz w:val="18"/>
                <w:szCs w:val="18"/>
                <w:lang w:val="hr-HR" w:eastAsia="hr-HR"/>
              </w:rPr>
              <w:t>INDEKS</w:t>
            </w:r>
          </w:p>
        </w:tc>
        <w:tc>
          <w:tcPr>
            <w:tcW w:w="992" w:type="dxa"/>
            <w:shd w:val="clear" w:color="auto" w:fill="DEEAF6" w:themeFill="accent1" w:themeFillTint="33"/>
            <w:vAlign w:val="center"/>
          </w:tcPr>
          <w:p w14:paraId="1315B3AB" w14:textId="77777777" w:rsidR="006430B8" w:rsidRPr="00960855" w:rsidRDefault="006430B8" w:rsidP="0020610B">
            <w:pPr>
              <w:overflowPunct/>
              <w:autoSpaceDE/>
              <w:autoSpaceDN/>
              <w:adjustRightInd/>
              <w:spacing w:after="0"/>
              <w:jc w:val="center"/>
              <w:textAlignment w:val="auto"/>
              <w:rPr>
                <w:b/>
                <w:bCs/>
                <w:sz w:val="18"/>
                <w:szCs w:val="18"/>
                <w:lang w:val="hr-HR" w:eastAsia="hr-HR"/>
              </w:rPr>
            </w:pPr>
            <w:r w:rsidRPr="00960855">
              <w:rPr>
                <w:b/>
                <w:bCs/>
                <w:sz w:val="18"/>
                <w:szCs w:val="18"/>
                <w:lang w:val="hr-HR" w:eastAsia="hr-HR"/>
              </w:rPr>
              <w:t>INDEKS</w:t>
            </w:r>
          </w:p>
        </w:tc>
      </w:tr>
      <w:tr w:rsidR="006430B8" w:rsidRPr="00602E34" w14:paraId="712AA564" w14:textId="77777777" w:rsidTr="005D2653">
        <w:trPr>
          <w:trHeight w:hRule="exact" w:val="295"/>
        </w:trPr>
        <w:tc>
          <w:tcPr>
            <w:tcW w:w="2269" w:type="dxa"/>
            <w:shd w:val="clear" w:color="auto" w:fill="DEEAF6" w:themeFill="accent1" w:themeFillTint="33"/>
            <w:noWrap/>
            <w:vAlign w:val="center"/>
            <w:hideMark/>
          </w:tcPr>
          <w:p w14:paraId="35B3AB47" w14:textId="77777777" w:rsidR="006430B8" w:rsidRPr="00602E34" w:rsidRDefault="006430B8" w:rsidP="0020610B">
            <w:pPr>
              <w:overflowPunct/>
              <w:autoSpaceDE/>
              <w:autoSpaceDN/>
              <w:adjustRightInd/>
              <w:spacing w:after="0"/>
              <w:jc w:val="center"/>
              <w:textAlignment w:val="auto"/>
              <w:rPr>
                <w:b/>
                <w:bCs/>
                <w:sz w:val="16"/>
                <w:szCs w:val="16"/>
                <w:lang w:val="hr-HR" w:eastAsia="hr-HR"/>
              </w:rPr>
            </w:pPr>
            <w:r w:rsidRPr="00602E34">
              <w:rPr>
                <w:b/>
                <w:bCs/>
                <w:sz w:val="16"/>
                <w:szCs w:val="16"/>
                <w:lang w:val="hr-HR" w:eastAsia="hr-HR"/>
              </w:rPr>
              <w:t>1</w:t>
            </w:r>
          </w:p>
        </w:tc>
        <w:tc>
          <w:tcPr>
            <w:tcW w:w="1559" w:type="dxa"/>
            <w:shd w:val="clear" w:color="auto" w:fill="DEEAF6" w:themeFill="accent1" w:themeFillTint="33"/>
            <w:vAlign w:val="center"/>
            <w:hideMark/>
          </w:tcPr>
          <w:p w14:paraId="48BE9583" w14:textId="77777777" w:rsidR="006430B8" w:rsidRPr="00602E34" w:rsidRDefault="006430B8" w:rsidP="0020610B">
            <w:pPr>
              <w:overflowPunct/>
              <w:autoSpaceDE/>
              <w:autoSpaceDN/>
              <w:adjustRightInd/>
              <w:spacing w:after="0"/>
              <w:jc w:val="center"/>
              <w:textAlignment w:val="auto"/>
              <w:rPr>
                <w:b/>
                <w:bCs/>
                <w:sz w:val="16"/>
                <w:szCs w:val="16"/>
                <w:lang w:val="hr-HR" w:eastAsia="hr-HR"/>
              </w:rPr>
            </w:pPr>
            <w:r w:rsidRPr="00602E34">
              <w:rPr>
                <w:b/>
                <w:bCs/>
                <w:sz w:val="16"/>
                <w:szCs w:val="16"/>
                <w:lang w:val="hr-HR" w:eastAsia="hr-HR"/>
              </w:rPr>
              <w:t>2</w:t>
            </w:r>
          </w:p>
        </w:tc>
        <w:tc>
          <w:tcPr>
            <w:tcW w:w="1560" w:type="dxa"/>
            <w:shd w:val="clear" w:color="auto" w:fill="DEEAF6" w:themeFill="accent1" w:themeFillTint="33"/>
            <w:vAlign w:val="center"/>
            <w:hideMark/>
          </w:tcPr>
          <w:p w14:paraId="527AB0CF" w14:textId="77777777" w:rsidR="006430B8" w:rsidRPr="00602E34" w:rsidRDefault="006430B8" w:rsidP="0020610B">
            <w:pPr>
              <w:overflowPunct/>
              <w:autoSpaceDE/>
              <w:autoSpaceDN/>
              <w:adjustRightInd/>
              <w:spacing w:after="0"/>
              <w:jc w:val="center"/>
              <w:textAlignment w:val="auto"/>
              <w:rPr>
                <w:b/>
                <w:bCs/>
                <w:sz w:val="16"/>
                <w:szCs w:val="16"/>
                <w:lang w:val="hr-HR" w:eastAsia="hr-HR"/>
              </w:rPr>
            </w:pPr>
            <w:r w:rsidRPr="00602E34">
              <w:rPr>
                <w:b/>
                <w:bCs/>
                <w:sz w:val="16"/>
                <w:szCs w:val="16"/>
                <w:lang w:val="hr-HR" w:eastAsia="hr-HR"/>
              </w:rPr>
              <w:t>3</w:t>
            </w:r>
          </w:p>
        </w:tc>
        <w:tc>
          <w:tcPr>
            <w:tcW w:w="1276" w:type="dxa"/>
            <w:shd w:val="clear" w:color="auto" w:fill="DEEAF6" w:themeFill="accent1" w:themeFillTint="33"/>
            <w:vAlign w:val="center"/>
            <w:hideMark/>
          </w:tcPr>
          <w:p w14:paraId="47DDD675" w14:textId="77777777" w:rsidR="006430B8" w:rsidRPr="00602E34" w:rsidRDefault="006430B8" w:rsidP="0020610B">
            <w:pPr>
              <w:overflowPunct/>
              <w:autoSpaceDE/>
              <w:autoSpaceDN/>
              <w:adjustRightInd/>
              <w:spacing w:after="0"/>
              <w:jc w:val="center"/>
              <w:textAlignment w:val="auto"/>
              <w:rPr>
                <w:b/>
                <w:bCs/>
                <w:sz w:val="16"/>
                <w:szCs w:val="16"/>
                <w:lang w:val="hr-HR" w:eastAsia="hr-HR"/>
              </w:rPr>
            </w:pPr>
            <w:r w:rsidRPr="00602E34">
              <w:rPr>
                <w:b/>
                <w:bCs/>
                <w:sz w:val="16"/>
                <w:szCs w:val="16"/>
                <w:lang w:val="hr-HR" w:eastAsia="hr-HR"/>
              </w:rPr>
              <w:t>4</w:t>
            </w:r>
          </w:p>
        </w:tc>
        <w:tc>
          <w:tcPr>
            <w:tcW w:w="1453" w:type="dxa"/>
            <w:shd w:val="clear" w:color="auto" w:fill="DEEAF6" w:themeFill="accent1" w:themeFillTint="33"/>
            <w:vAlign w:val="center"/>
            <w:hideMark/>
          </w:tcPr>
          <w:p w14:paraId="24791781" w14:textId="77777777" w:rsidR="006430B8" w:rsidRPr="00602E34" w:rsidRDefault="006430B8" w:rsidP="0020610B">
            <w:pPr>
              <w:overflowPunct/>
              <w:autoSpaceDE/>
              <w:autoSpaceDN/>
              <w:adjustRightInd/>
              <w:spacing w:after="0"/>
              <w:jc w:val="center"/>
              <w:textAlignment w:val="auto"/>
              <w:rPr>
                <w:b/>
                <w:bCs/>
                <w:sz w:val="16"/>
                <w:szCs w:val="16"/>
                <w:lang w:val="hr-HR" w:eastAsia="hr-HR"/>
              </w:rPr>
            </w:pPr>
            <w:r w:rsidRPr="00602E34">
              <w:rPr>
                <w:b/>
                <w:bCs/>
                <w:sz w:val="16"/>
                <w:szCs w:val="16"/>
                <w:lang w:val="hr-HR" w:eastAsia="hr-HR"/>
              </w:rPr>
              <w:t>5</w:t>
            </w:r>
          </w:p>
        </w:tc>
        <w:tc>
          <w:tcPr>
            <w:tcW w:w="956" w:type="dxa"/>
            <w:shd w:val="clear" w:color="auto" w:fill="DEEAF6" w:themeFill="accent1" w:themeFillTint="33"/>
            <w:vAlign w:val="center"/>
            <w:hideMark/>
          </w:tcPr>
          <w:p w14:paraId="548770E6" w14:textId="77777777" w:rsidR="006430B8" w:rsidRPr="00602E34" w:rsidRDefault="006430B8" w:rsidP="0020610B">
            <w:pPr>
              <w:overflowPunct/>
              <w:autoSpaceDE/>
              <w:autoSpaceDN/>
              <w:adjustRightInd/>
              <w:spacing w:after="0"/>
              <w:jc w:val="center"/>
              <w:textAlignment w:val="auto"/>
              <w:rPr>
                <w:b/>
                <w:bCs/>
                <w:sz w:val="16"/>
                <w:szCs w:val="16"/>
                <w:lang w:val="hr-HR" w:eastAsia="hr-HR"/>
              </w:rPr>
            </w:pPr>
            <w:r w:rsidRPr="00602E34">
              <w:rPr>
                <w:b/>
                <w:bCs/>
                <w:sz w:val="16"/>
                <w:szCs w:val="16"/>
                <w:lang w:val="hr-HR" w:eastAsia="hr-HR"/>
              </w:rPr>
              <w:t>6=5/2*100</w:t>
            </w:r>
          </w:p>
        </w:tc>
        <w:tc>
          <w:tcPr>
            <w:tcW w:w="992" w:type="dxa"/>
            <w:shd w:val="clear" w:color="auto" w:fill="DEEAF6" w:themeFill="accent1" w:themeFillTint="33"/>
            <w:vAlign w:val="center"/>
          </w:tcPr>
          <w:p w14:paraId="6B031ADE" w14:textId="77777777" w:rsidR="006430B8" w:rsidRPr="00602E34" w:rsidRDefault="006430B8" w:rsidP="0020610B">
            <w:pPr>
              <w:overflowPunct/>
              <w:autoSpaceDE/>
              <w:autoSpaceDN/>
              <w:adjustRightInd/>
              <w:spacing w:after="0"/>
              <w:jc w:val="center"/>
              <w:textAlignment w:val="auto"/>
              <w:rPr>
                <w:b/>
                <w:bCs/>
                <w:sz w:val="16"/>
                <w:szCs w:val="16"/>
                <w:lang w:val="hr-HR" w:eastAsia="hr-HR"/>
              </w:rPr>
            </w:pPr>
            <w:r w:rsidRPr="00602E34">
              <w:rPr>
                <w:b/>
                <w:bCs/>
                <w:sz w:val="16"/>
                <w:szCs w:val="16"/>
                <w:lang w:val="hr-HR" w:eastAsia="hr-HR"/>
              </w:rPr>
              <w:t>7=5/4*100</w:t>
            </w:r>
          </w:p>
        </w:tc>
      </w:tr>
      <w:tr w:rsidR="006C5D7C" w:rsidRPr="00FC4A3A" w14:paraId="00A0A6A3" w14:textId="77777777" w:rsidTr="003950D6">
        <w:trPr>
          <w:trHeight w:val="294"/>
        </w:trPr>
        <w:tc>
          <w:tcPr>
            <w:tcW w:w="2269" w:type="dxa"/>
            <w:shd w:val="clear" w:color="DDEBF7" w:fill="DDEBF7"/>
            <w:vAlign w:val="center"/>
            <w:hideMark/>
          </w:tcPr>
          <w:p w14:paraId="0C17D927" w14:textId="77777777" w:rsidR="006C5D7C" w:rsidRPr="00960855" w:rsidRDefault="006C5D7C" w:rsidP="006C5D7C">
            <w:pPr>
              <w:overflowPunct/>
              <w:autoSpaceDE/>
              <w:autoSpaceDN/>
              <w:adjustRightInd/>
              <w:spacing w:after="0"/>
              <w:jc w:val="left"/>
              <w:textAlignment w:val="auto"/>
              <w:rPr>
                <w:b/>
                <w:bCs/>
                <w:sz w:val="18"/>
                <w:szCs w:val="18"/>
                <w:lang w:val="hr-HR" w:eastAsia="hr-HR"/>
              </w:rPr>
            </w:pPr>
            <w:r w:rsidRPr="00960855">
              <w:rPr>
                <w:b/>
                <w:bCs/>
                <w:sz w:val="18"/>
                <w:szCs w:val="18"/>
                <w:lang w:val="hr-HR" w:eastAsia="hr-HR"/>
              </w:rPr>
              <w:t>PRIHODI UKUPNO</w:t>
            </w:r>
          </w:p>
        </w:tc>
        <w:tc>
          <w:tcPr>
            <w:tcW w:w="1559" w:type="dxa"/>
            <w:shd w:val="clear" w:color="DDEBF7" w:fill="DDEBF7"/>
            <w:vAlign w:val="center"/>
            <w:hideMark/>
          </w:tcPr>
          <w:p w14:paraId="09F26F55" w14:textId="056433F9" w:rsidR="006C5D7C" w:rsidRPr="006C5D7C" w:rsidRDefault="00235C82" w:rsidP="006C5D7C">
            <w:pPr>
              <w:overflowPunct/>
              <w:autoSpaceDE/>
              <w:autoSpaceDN/>
              <w:adjustRightInd/>
              <w:spacing w:after="0"/>
              <w:jc w:val="right"/>
              <w:textAlignment w:val="auto"/>
              <w:rPr>
                <w:b/>
                <w:bCs/>
                <w:sz w:val="18"/>
                <w:szCs w:val="18"/>
                <w:lang w:val="hr-HR" w:eastAsia="hr-HR"/>
              </w:rPr>
            </w:pPr>
            <w:r>
              <w:rPr>
                <w:b/>
                <w:bCs/>
                <w:sz w:val="18"/>
                <w:szCs w:val="18"/>
                <w:lang w:val="hr-HR" w:eastAsia="hr-HR"/>
              </w:rPr>
              <w:t>31.147.482,79</w:t>
            </w:r>
          </w:p>
        </w:tc>
        <w:tc>
          <w:tcPr>
            <w:tcW w:w="1560" w:type="dxa"/>
            <w:shd w:val="clear" w:color="DDEBF7" w:fill="DDEBF7"/>
            <w:vAlign w:val="center"/>
            <w:hideMark/>
          </w:tcPr>
          <w:p w14:paraId="34A5D244" w14:textId="6FFBD823" w:rsidR="006C5D7C" w:rsidRPr="006C5D7C" w:rsidRDefault="00235C82" w:rsidP="006C5D7C">
            <w:pPr>
              <w:overflowPunct/>
              <w:autoSpaceDE/>
              <w:autoSpaceDN/>
              <w:adjustRightInd/>
              <w:spacing w:after="0"/>
              <w:jc w:val="right"/>
              <w:textAlignment w:val="auto"/>
              <w:rPr>
                <w:b/>
                <w:bCs/>
                <w:sz w:val="18"/>
                <w:szCs w:val="18"/>
                <w:lang w:val="hr-HR" w:eastAsia="hr-HR"/>
              </w:rPr>
            </w:pPr>
            <w:r>
              <w:rPr>
                <w:b/>
                <w:bCs/>
                <w:sz w:val="18"/>
                <w:szCs w:val="18"/>
                <w:lang w:val="hr-HR" w:eastAsia="hr-HR"/>
              </w:rPr>
              <w:t>14.817.384</w:t>
            </w:r>
          </w:p>
        </w:tc>
        <w:tc>
          <w:tcPr>
            <w:tcW w:w="1276" w:type="dxa"/>
            <w:shd w:val="clear" w:color="DDEBF7" w:fill="DDEBF7"/>
            <w:vAlign w:val="center"/>
            <w:hideMark/>
          </w:tcPr>
          <w:p w14:paraId="588051FE" w14:textId="7AA96205" w:rsidR="006C5D7C" w:rsidRPr="006C5D7C" w:rsidRDefault="00235C82" w:rsidP="006C5D7C">
            <w:pPr>
              <w:overflowPunct/>
              <w:autoSpaceDE/>
              <w:autoSpaceDN/>
              <w:adjustRightInd/>
              <w:spacing w:after="0"/>
              <w:jc w:val="right"/>
              <w:textAlignment w:val="auto"/>
              <w:rPr>
                <w:b/>
                <w:bCs/>
                <w:sz w:val="18"/>
                <w:szCs w:val="18"/>
                <w:lang w:val="hr-HR" w:eastAsia="hr-HR"/>
              </w:rPr>
            </w:pPr>
            <w:r>
              <w:rPr>
                <w:b/>
                <w:bCs/>
                <w:sz w:val="18"/>
                <w:szCs w:val="18"/>
                <w:lang w:val="hr-HR" w:eastAsia="hr-HR"/>
              </w:rPr>
              <w:t>14.817.384</w:t>
            </w:r>
          </w:p>
        </w:tc>
        <w:tc>
          <w:tcPr>
            <w:tcW w:w="1453" w:type="dxa"/>
            <w:shd w:val="clear" w:color="DDEBF7" w:fill="DDEBF7"/>
            <w:vAlign w:val="center"/>
            <w:hideMark/>
          </w:tcPr>
          <w:p w14:paraId="4DD66E91" w14:textId="2AA59F39" w:rsidR="006C5D7C" w:rsidRPr="006C5D7C" w:rsidRDefault="00235C82" w:rsidP="006C5D7C">
            <w:pPr>
              <w:overflowPunct/>
              <w:autoSpaceDE/>
              <w:autoSpaceDN/>
              <w:adjustRightInd/>
              <w:spacing w:after="0"/>
              <w:jc w:val="right"/>
              <w:textAlignment w:val="auto"/>
              <w:rPr>
                <w:b/>
                <w:bCs/>
                <w:sz w:val="18"/>
                <w:szCs w:val="18"/>
                <w:lang w:val="hr-HR" w:eastAsia="hr-HR"/>
              </w:rPr>
            </w:pPr>
            <w:r>
              <w:rPr>
                <w:b/>
                <w:bCs/>
                <w:sz w:val="18"/>
                <w:szCs w:val="18"/>
                <w:lang w:val="hr-HR" w:eastAsia="hr-HR"/>
              </w:rPr>
              <w:t>13.578.987,86</w:t>
            </w:r>
          </w:p>
        </w:tc>
        <w:tc>
          <w:tcPr>
            <w:tcW w:w="956" w:type="dxa"/>
            <w:shd w:val="clear" w:color="DDEBF7" w:fill="DDEBF7"/>
            <w:vAlign w:val="center"/>
            <w:hideMark/>
          </w:tcPr>
          <w:p w14:paraId="365C7CBB" w14:textId="2BC3843D" w:rsidR="006C5D7C" w:rsidRPr="006C5D7C" w:rsidRDefault="00235C82" w:rsidP="006C5D7C">
            <w:pPr>
              <w:overflowPunct/>
              <w:autoSpaceDE/>
              <w:autoSpaceDN/>
              <w:adjustRightInd/>
              <w:spacing w:after="0"/>
              <w:jc w:val="right"/>
              <w:textAlignment w:val="auto"/>
              <w:rPr>
                <w:b/>
                <w:bCs/>
                <w:sz w:val="18"/>
                <w:szCs w:val="18"/>
                <w:lang w:val="hr-HR" w:eastAsia="hr-HR"/>
              </w:rPr>
            </w:pPr>
            <w:r>
              <w:rPr>
                <w:b/>
                <w:bCs/>
                <w:sz w:val="18"/>
                <w:szCs w:val="18"/>
                <w:lang w:val="hr-HR" w:eastAsia="hr-HR"/>
              </w:rPr>
              <w:t>43,60</w:t>
            </w:r>
          </w:p>
        </w:tc>
        <w:tc>
          <w:tcPr>
            <w:tcW w:w="992" w:type="dxa"/>
            <w:shd w:val="clear" w:color="DDEBF7" w:fill="DDEBF7"/>
            <w:vAlign w:val="center"/>
          </w:tcPr>
          <w:p w14:paraId="1529D36D" w14:textId="4C847192" w:rsidR="006C5D7C" w:rsidRPr="006C5D7C" w:rsidRDefault="00235C82" w:rsidP="006C5D7C">
            <w:pPr>
              <w:overflowPunct/>
              <w:autoSpaceDE/>
              <w:autoSpaceDN/>
              <w:adjustRightInd/>
              <w:spacing w:after="0"/>
              <w:jc w:val="right"/>
              <w:textAlignment w:val="auto"/>
              <w:rPr>
                <w:b/>
                <w:bCs/>
                <w:sz w:val="18"/>
                <w:szCs w:val="18"/>
                <w:lang w:val="hr-HR" w:eastAsia="hr-HR"/>
              </w:rPr>
            </w:pPr>
            <w:r>
              <w:rPr>
                <w:b/>
                <w:bCs/>
                <w:sz w:val="18"/>
                <w:szCs w:val="18"/>
                <w:lang w:val="hr-HR" w:eastAsia="hr-HR"/>
              </w:rPr>
              <w:t>91,64</w:t>
            </w:r>
          </w:p>
        </w:tc>
      </w:tr>
      <w:tr w:rsidR="00235C82" w:rsidRPr="00FC4A3A" w14:paraId="5A2FD78A" w14:textId="77777777" w:rsidTr="003950D6">
        <w:trPr>
          <w:trHeight w:val="294"/>
        </w:trPr>
        <w:tc>
          <w:tcPr>
            <w:tcW w:w="2269" w:type="dxa"/>
            <w:shd w:val="clear" w:color="FFFFFF" w:fill="FFFFFF"/>
            <w:vAlign w:val="center"/>
            <w:hideMark/>
          </w:tcPr>
          <w:p w14:paraId="2E256ADF" w14:textId="77777777" w:rsidR="00235C82" w:rsidRPr="00960855" w:rsidRDefault="00235C82" w:rsidP="00235C82">
            <w:pPr>
              <w:overflowPunct/>
              <w:autoSpaceDE/>
              <w:autoSpaceDN/>
              <w:adjustRightInd/>
              <w:spacing w:after="0"/>
              <w:jc w:val="left"/>
              <w:textAlignment w:val="auto"/>
              <w:rPr>
                <w:sz w:val="18"/>
                <w:szCs w:val="18"/>
                <w:lang w:val="hr-HR" w:eastAsia="hr-HR"/>
              </w:rPr>
            </w:pPr>
            <w:r w:rsidRPr="00960855">
              <w:rPr>
                <w:sz w:val="18"/>
                <w:szCs w:val="18"/>
                <w:lang w:val="hr-HR" w:eastAsia="hr-HR"/>
              </w:rPr>
              <w:t>6 PRIHODI POSLOVANJA</w:t>
            </w:r>
          </w:p>
        </w:tc>
        <w:tc>
          <w:tcPr>
            <w:tcW w:w="1559" w:type="dxa"/>
            <w:shd w:val="clear" w:color="FFFFFF" w:fill="FFFFFF"/>
            <w:vAlign w:val="center"/>
            <w:hideMark/>
          </w:tcPr>
          <w:p w14:paraId="6C81B491" w14:textId="279DF8A3" w:rsidR="00235C82" w:rsidRPr="00235C82" w:rsidRDefault="00235C82" w:rsidP="00235C82">
            <w:pPr>
              <w:overflowPunct/>
              <w:autoSpaceDE/>
              <w:autoSpaceDN/>
              <w:adjustRightInd/>
              <w:spacing w:after="0"/>
              <w:jc w:val="right"/>
              <w:textAlignment w:val="auto"/>
              <w:rPr>
                <w:sz w:val="18"/>
                <w:szCs w:val="18"/>
                <w:lang w:val="hr-HR" w:eastAsia="hr-HR"/>
              </w:rPr>
            </w:pPr>
            <w:r w:rsidRPr="00235C82">
              <w:rPr>
                <w:bCs/>
                <w:sz w:val="18"/>
                <w:szCs w:val="18"/>
                <w:lang w:val="hr-HR" w:eastAsia="hr-HR"/>
              </w:rPr>
              <w:t>31.147.482,79</w:t>
            </w:r>
          </w:p>
        </w:tc>
        <w:tc>
          <w:tcPr>
            <w:tcW w:w="1560" w:type="dxa"/>
            <w:shd w:val="clear" w:color="FFFFFF" w:fill="FFFFFF"/>
            <w:vAlign w:val="center"/>
            <w:hideMark/>
          </w:tcPr>
          <w:p w14:paraId="46F915ED" w14:textId="4140E4E8" w:rsidR="00235C82" w:rsidRPr="00235C82" w:rsidRDefault="00235C82" w:rsidP="00235C82">
            <w:pPr>
              <w:overflowPunct/>
              <w:autoSpaceDE/>
              <w:autoSpaceDN/>
              <w:adjustRightInd/>
              <w:spacing w:after="0"/>
              <w:jc w:val="right"/>
              <w:textAlignment w:val="auto"/>
              <w:rPr>
                <w:sz w:val="18"/>
                <w:szCs w:val="18"/>
                <w:lang w:val="hr-HR" w:eastAsia="hr-HR"/>
              </w:rPr>
            </w:pPr>
            <w:r w:rsidRPr="00235C82">
              <w:rPr>
                <w:bCs/>
                <w:sz w:val="18"/>
                <w:szCs w:val="18"/>
                <w:lang w:val="hr-HR" w:eastAsia="hr-HR"/>
              </w:rPr>
              <w:t>14.817.384</w:t>
            </w:r>
          </w:p>
        </w:tc>
        <w:tc>
          <w:tcPr>
            <w:tcW w:w="1276" w:type="dxa"/>
            <w:shd w:val="clear" w:color="FFFFFF" w:fill="FFFFFF"/>
            <w:vAlign w:val="center"/>
            <w:hideMark/>
          </w:tcPr>
          <w:p w14:paraId="5CCAEEE7" w14:textId="4E5AD273" w:rsidR="00235C82" w:rsidRPr="00235C82" w:rsidRDefault="00235C82" w:rsidP="00235C82">
            <w:pPr>
              <w:overflowPunct/>
              <w:autoSpaceDE/>
              <w:autoSpaceDN/>
              <w:adjustRightInd/>
              <w:spacing w:after="0"/>
              <w:jc w:val="right"/>
              <w:textAlignment w:val="auto"/>
              <w:rPr>
                <w:sz w:val="18"/>
                <w:szCs w:val="18"/>
                <w:lang w:val="hr-HR" w:eastAsia="hr-HR"/>
              </w:rPr>
            </w:pPr>
            <w:r w:rsidRPr="00235C82">
              <w:rPr>
                <w:bCs/>
                <w:sz w:val="18"/>
                <w:szCs w:val="18"/>
                <w:lang w:val="hr-HR" w:eastAsia="hr-HR"/>
              </w:rPr>
              <w:t>14.817.384</w:t>
            </w:r>
          </w:p>
        </w:tc>
        <w:tc>
          <w:tcPr>
            <w:tcW w:w="1453" w:type="dxa"/>
            <w:shd w:val="clear" w:color="FFFFFF" w:fill="FFFFFF"/>
            <w:vAlign w:val="center"/>
            <w:hideMark/>
          </w:tcPr>
          <w:p w14:paraId="703BEA88" w14:textId="2C4F84A9" w:rsidR="00235C82" w:rsidRPr="00235C82" w:rsidRDefault="00235C82" w:rsidP="00235C82">
            <w:pPr>
              <w:overflowPunct/>
              <w:autoSpaceDE/>
              <w:autoSpaceDN/>
              <w:adjustRightInd/>
              <w:spacing w:after="0"/>
              <w:jc w:val="right"/>
              <w:textAlignment w:val="auto"/>
              <w:rPr>
                <w:sz w:val="18"/>
                <w:szCs w:val="18"/>
                <w:lang w:val="hr-HR" w:eastAsia="hr-HR"/>
              </w:rPr>
            </w:pPr>
            <w:r w:rsidRPr="00235C82">
              <w:rPr>
                <w:bCs/>
                <w:sz w:val="18"/>
                <w:szCs w:val="18"/>
                <w:lang w:val="hr-HR" w:eastAsia="hr-HR"/>
              </w:rPr>
              <w:t>13.578.987,86</w:t>
            </w:r>
          </w:p>
        </w:tc>
        <w:tc>
          <w:tcPr>
            <w:tcW w:w="956" w:type="dxa"/>
            <w:shd w:val="clear" w:color="FFFFFF" w:fill="FFFFFF"/>
            <w:vAlign w:val="center"/>
            <w:hideMark/>
          </w:tcPr>
          <w:p w14:paraId="45A162B6" w14:textId="188E45A2" w:rsidR="00235C82" w:rsidRPr="00235C82" w:rsidRDefault="00235C82" w:rsidP="00235C82">
            <w:pPr>
              <w:overflowPunct/>
              <w:autoSpaceDE/>
              <w:autoSpaceDN/>
              <w:adjustRightInd/>
              <w:spacing w:after="0"/>
              <w:jc w:val="right"/>
              <w:textAlignment w:val="auto"/>
              <w:rPr>
                <w:sz w:val="18"/>
                <w:szCs w:val="18"/>
                <w:lang w:val="hr-HR" w:eastAsia="hr-HR"/>
              </w:rPr>
            </w:pPr>
            <w:r w:rsidRPr="00235C82">
              <w:rPr>
                <w:bCs/>
                <w:sz w:val="18"/>
                <w:szCs w:val="18"/>
                <w:lang w:val="hr-HR" w:eastAsia="hr-HR"/>
              </w:rPr>
              <w:t>43,60</w:t>
            </w:r>
          </w:p>
        </w:tc>
        <w:tc>
          <w:tcPr>
            <w:tcW w:w="992" w:type="dxa"/>
            <w:shd w:val="clear" w:color="FFFFFF" w:fill="FFFFFF"/>
            <w:vAlign w:val="center"/>
          </w:tcPr>
          <w:p w14:paraId="5B54AAF8" w14:textId="42FB53A7" w:rsidR="00235C82" w:rsidRPr="00235C82" w:rsidRDefault="00235C82" w:rsidP="00235C82">
            <w:pPr>
              <w:overflowPunct/>
              <w:autoSpaceDE/>
              <w:autoSpaceDN/>
              <w:adjustRightInd/>
              <w:spacing w:after="0"/>
              <w:jc w:val="right"/>
              <w:textAlignment w:val="auto"/>
              <w:rPr>
                <w:sz w:val="18"/>
                <w:szCs w:val="18"/>
                <w:lang w:val="hr-HR" w:eastAsia="hr-HR"/>
              </w:rPr>
            </w:pPr>
            <w:r w:rsidRPr="00235C82">
              <w:rPr>
                <w:bCs/>
                <w:sz w:val="18"/>
                <w:szCs w:val="18"/>
                <w:lang w:val="hr-HR" w:eastAsia="hr-HR"/>
              </w:rPr>
              <w:t>91,64</w:t>
            </w:r>
          </w:p>
        </w:tc>
      </w:tr>
      <w:tr w:rsidR="006430B8" w:rsidRPr="00FC4A3A" w14:paraId="1A16B198" w14:textId="77777777" w:rsidTr="003950D6">
        <w:trPr>
          <w:trHeight w:val="294"/>
        </w:trPr>
        <w:tc>
          <w:tcPr>
            <w:tcW w:w="2269" w:type="dxa"/>
            <w:shd w:val="clear" w:color="FFFFFF" w:fill="FFFFFF"/>
            <w:noWrap/>
            <w:vAlign w:val="center"/>
            <w:hideMark/>
          </w:tcPr>
          <w:p w14:paraId="786CB51A" w14:textId="77777777" w:rsidR="006430B8" w:rsidRPr="00960855" w:rsidRDefault="006430B8" w:rsidP="0020610B">
            <w:pPr>
              <w:overflowPunct/>
              <w:autoSpaceDE/>
              <w:autoSpaceDN/>
              <w:adjustRightInd/>
              <w:spacing w:after="0"/>
              <w:jc w:val="left"/>
              <w:textAlignment w:val="auto"/>
              <w:rPr>
                <w:sz w:val="18"/>
                <w:szCs w:val="18"/>
                <w:lang w:val="hr-HR" w:eastAsia="hr-HR"/>
              </w:rPr>
            </w:pPr>
            <w:r w:rsidRPr="00960855">
              <w:rPr>
                <w:sz w:val="18"/>
                <w:szCs w:val="18"/>
                <w:lang w:val="hr-HR" w:eastAsia="hr-HR"/>
              </w:rPr>
              <w:t>7 PRIHODI OD PRODAJE NEFINANCIJSKE IMOVINE</w:t>
            </w:r>
          </w:p>
        </w:tc>
        <w:tc>
          <w:tcPr>
            <w:tcW w:w="1559" w:type="dxa"/>
            <w:shd w:val="clear" w:color="FFFFFF" w:fill="FFFFFF"/>
            <w:noWrap/>
            <w:vAlign w:val="center"/>
            <w:hideMark/>
          </w:tcPr>
          <w:p w14:paraId="7D6C9CD4" w14:textId="77777777" w:rsidR="006430B8" w:rsidRPr="00235C82" w:rsidRDefault="006430B8" w:rsidP="0020610B">
            <w:pPr>
              <w:overflowPunct/>
              <w:autoSpaceDE/>
              <w:autoSpaceDN/>
              <w:adjustRightInd/>
              <w:spacing w:after="0"/>
              <w:jc w:val="right"/>
              <w:textAlignment w:val="auto"/>
              <w:rPr>
                <w:sz w:val="18"/>
                <w:szCs w:val="18"/>
                <w:lang w:val="hr-HR" w:eastAsia="hr-HR"/>
              </w:rPr>
            </w:pPr>
            <w:r w:rsidRPr="00235C82">
              <w:rPr>
                <w:sz w:val="18"/>
                <w:szCs w:val="18"/>
                <w:lang w:val="hr-HR" w:eastAsia="hr-HR"/>
              </w:rPr>
              <w:t>0,00</w:t>
            </w:r>
          </w:p>
        </w:tc>
        <w:tc>
          <w:tcPr>
            <w:tcW w:w="1560" w:type="dxa"/>
            <w:shd w:val="clear" w:color="FFFFFF" w:fill="FFFFFF"/>
            <w:noWrap/>
            <w:vAlign w:val="center"/>
            <w:hideMark/>
          </w:tcPr>
          <w:p w14:paraId="4AC970EB" w14:textId="77777777" w:rsidR="006430B8" w:rsidRPr="00235C82" w:rsidRDefault="006430B8" w:rsidP="0020610B">
            <w:pPr>
              <w:overflowPunct/>
              <w:autoSpaceDE/>
              <w:autoSpaceDN/>
              <w:adjustRightInd/>
              <w:spacing w:after="0"/>
              <w:jc w:val="right"/>
              <w:textAlignment w:val="auto"/>
              <w:rPr>
                <w:sz w:val="18"/>
                <w:szCs w:val="18"/>
                <w:lang w:val="hr-HR" w:eastAsia="hr-HR"/>
              </w:rPr>
            </w:pPr>
            <w:r w:rsidRPr="00235C82">
              <w:rPr>
                <w:sz w:val="18"/>
                <w:szCs w:val="18"/>
                <w:lang w:val="hr-HR" w:eastAsia="hr-HR"/>
              </w:rPr>
              <w:t>0</w:t>
            </w:r>
          </w:p>
        </w:tc>
        <w:tc>
          <w:tcPr>
            <w:tcW w:w="1276" w:type="dxa"/>
            <w:shd w:val="clear" w:color="FFFFFF" w:fill="FFFFFF"/>
            <w:noWrap/>
            <w:vAlign w:val="center"/>
            <w:hideMark/>
          </w:tcPr>
          <w:p w14:paraId="2CFDC39C" w14:textId="77777777" w:rsidR="006430B8" w:rsidRPr="00235C82" w:rsidRDefault="006430B8" w:rsidP="0020610B">
            <w:pPr>
              <w:overflowPunct/>
              <w:autoSpaceDE/>
              <w:autoSpaceDN/>
              <w:adjustRightInd/>
              <w:spacing w:after="0"/>
              <w:jc w:val="right"/>
              <w:textAlignment w:val="auto"/>
              <w:rPr>
                <w:sz w:val="18"/>
                <w:szCs w:val="18"/>
                <w:lang w:val="hr-HR" w:eastAsia="hr-HR"/>
              </w:rPr>
            </w:pPr>
            <w:r w:rsidRPr="00235C82">
              <w:rPr>
                <w:sz w:val="18"/>
                <w:szCs w:val="18"/>
                <w:lang w:val="hr-HR" w:eastAsia="hr-HR"/>
              </w:rPr>
              <w:t>0</w:t>
            </w:r>
          </w:p>
        </w:tc>
        <w:tc>
          <w:tcPr>
            <w:tcW w:w="1453" w:type="dxa"/>
            <w:shd w:val="clear" w:color="FFFFFF" w:fill="FFFFFF"/>
            <w:noWrap/>
            <w:vAlign w:val="center"/>
            <w:hideMark/>
          </w:tcPr>
          <w:p w14:paraId="1E460227" w14:textId="77777777" w:rsidR="006430B8" w:rsidRPr="00235C82" w:rsidRDefault="006430B8" w:rsidP="0020610B">
            <w:pPr>
              <w:overflowPunct/>
              <w:autoSpaceDE/>
              <w:autoSpaceDN/>
              <w:adjustRightInd/>
              <w:spacing w:after="0"/>
              <w:jc w:val="right"/>
              <w:textAlignment w:val="auto"/>
              <w:rPr>
                <w:sz w:val="18"/>
                <w:szCs w:val="18"/>
                <w:lang w:val="hr-HR" w:eastAsia="hr-HR"/>
              </w:rPr>
            </w:pPr>
            <w:r w:rsidRPr="00235C82">
              <w:rPr>
                <w:sz w:val="18"/>
                <w:szCs w:val="18"/>
                <w:lang w:val="hr-HR" w:eastAsia="hr-HR"/>
              </w:rPr>
              <w:t>0,00</w:t>
            </w:r>
          </w:p>
        </w:tc>
        <w:tc>
          <w:tcPr>
            <w:tcW w:w="956" w:type="dxa"/>
            <w:shd w:val="clear" w:color="FFFFFF" w:fill="FFFFFF"/>
            <w:vAlign w:val="center"/>
            <w:hideMark/>
          </w:tcPr>
          <w:p w14:paraId="7ECD5AC5" w14:textId="77777777" w:rsidR="006430B8" w:rsidRPr="00235C82" w:rsidRDefault="006430B8" w:rsidP="0020610B">
            <w:pPr>
              <w:overflowPunct/>
              <w:autoSpaceDE/>
              <w:autoSpaceDN/>
              <w:adjustRightInd/>
              <w:spacing w:after="0"/>
              <w:jc w:val="right"/>
              <w:textAlignment w:val="auto"/>
              <w:rPr>
                <w:sz w:val="18"/>
                <w:szCs w:val="18"/>
                <w:lang w:val="hr-HR" w:eastAsia="hr-HR"/>
              </w:rPr>
            </w:pPr>
            <w:r w:rsidRPr="00235C82">
              <w:rPr>
                <w:sz w:val="18"/>
                <w:szCs w:val="18"/>
                <w:lang w:val="hr-HR" w:eastAsia="hr-HR"/>
              </w:rPr>
              <w:t>-</w:t>
            </w:r>
          </w:p>
        </w:tc>
        <w:tc>
          <w:tcPr>
            <w:tcW w:w="992" w:type="dxa"/>
            <w:shd w:val="clear" w:color="FFFFFF" w:fill="FFFFFF"/>
            <w:vAlign w:val="center"/>
          </w:tcPr>
          <w:p w14:paraId="27203825" w14:textId="77777777" w:rsidR="006430B8" w:rsidRPr="00235C82" w:rsidRDefault="006430B8" w:rsidP="0020610B">
            <w:pPr>
              <w:overflowPunct/>
              <w:autoSpaceDE/>
              <w:autoSpaceDN/>
              <w:adjustRightInd/>
              <w:spacing w:after="0"/>
              <w:jc w:val="right"/>
              <w:textAlignment w:val="auto"/>
              <w:rPr>
                <w:sz w:val="18"/>
                <w:szCs w:val="18"/>
                <w:lang w:val="hr-HR" w:eastAsia="hr-HR"/>
              </w:rPr>
            </w:pPr>
            <w:r w:rsidRPr="00235C82">
              <w:rPr>
                <w:sz w:val="18"/>
                <w:szCs w:val="18"/>
                <w:lang w:val="hr-HR" w:eastAsia="hr-HR"/>
              </w:rPr>
              <w:t>-</w:t>
            </w:r>
          </w:p>
        </w:tc>
      </w:tr>
      <w:tr w:rsidR="00235C82" w:rsidRPr="00FC4A3A" w14:paraId="7BE488F7" w14:textId="77777777" w:rsidTr="003950D6">
        <w:trPr>
          <w:trHeight w:val="294"/>
        </w:trPr>
        <w:tc>
          <w:tcPr>
            <w:tcW w:w="2269" w:type="dxa"/>
            <w:shd w:val="clear" w:color="DDEBF7" w:fill="DDEBF7"/>
            <w:noWrap/>
            <w:vAlign w:val="center"/>
            <w:hideMark/>
          </w:tcPr>
          <w:p w14:paraId="73A7D900" w14:textId="77777777" w:rsidR="00235C82" w:rsidRPr="00960855" w:rsidRDefault="00235C82" w:rsidP="00235C82">
            <w:pPr>
              <w:overflowPunct/>
              <w:autoSpaceDE/>
              <w:autoSpaceDN/>
              <w:adjustRightInd/>
              <w:spacing w:after="0"/>
              <w:jc w:val="left"/>
              <w:textAlignment w:val="auto"/>
              <w:rPr>
                <w:b/>
                <w:bCs/>
                <w:sz w:val="18"/>
                <w:szCs w:val="18"/>
                <w:lang w:val="hr-HR" w:eastAsia="hr-HR"/>
              </w:rPr>
            </w:pPr>
            <w:r w:rsidRPr="00960855">
              <w:rPr>
                <w:b/>
                <w:bCs/>
                <w:sz w:val="18"/>
                <w:szCs w:val="18"/>
                <w:lang w:val="hr-HR" w:eastAsia="hr-HR"/>
              </w:rPr>
              <w:t>RASHODI UKUPNO</w:t>
            </w:r>
          </w:p>
        </w:tc>
        <w:tc>
          <w:tcPr>
            <w:tcW w:w="1559" w:type="dxa"/>
            <w:shd w:val="clear" w:color="DDEBF7" w:fill="DDEBF7"/>
            <w:noWrap/>
            <w:vAlign w:val="center"/>
          </w:tcPr>
          <w:p w14:paraId="093CCB77" w14:textId="2B0D807A" w:rsidR="00235C82" w:rsidRPr="006C5D7C" w:rsidRDefault="00235C82" w:rsidP="00235C82">
            <w:pPr>
              <w:overflowPunct/>
              <w:autoSpaceDE/>
              <w:autoSpaceDN/>
              <w:adjustRightInd/>
              <w:spacing w:after="0"/>
              <w:jc w:val="right"/>
              <w:textAlignment w:val="auto"/>
              <w:rPr>
                <w:b/>
                <w:bCs/>
                <w:sz w:val="18"/>
                <w:szCs w:val="18"/>
                <w:lang w:val="hr-HR" w:eastAsia="hr-HR"/>
              </w:rPr>
            </w:pPr>
            <w:r>
              <w:rPr>
                <w:b/>
                <w:bCs/>
                <w:sz w:val="18"/>
                <w:szCs w:val="18"/>
                <w:lang w:val="hr-HR" w:eastAsia="hr-HR"/>
              </w:rPr>
              <w:t>31.147.482,79</w:t>
            </w:r>
          </w:p>
        </w:tc>
        <w:tc>
          <w:tcPr>
            <w:tcW w:w="1560" w:type="dxa"/>
            <w:shd w:val="clear" w:color="DDEBF7" w:fill="DDEBF7"/>
            <w:noWrap/>
            <w:vAlign w:val="center"/>
          </w:tcPr>
          <w:p w14:paraId="7C564E72" w14:textId="57E42372" w:rsidR="00235C82" w:rsidRPr="006C5D7C" w:rsidRDefault="00235C82" w:rsidP="00235C82">
            <w:pPr>
              <w:overflowPunct/>
              <w:autoSpaceDE/>
              <w:autoSpaceDN/>
              <w:adjustRightInd/>
              <w:spacing w:after="0"/>
              <w:jc w:val="right"/>
              <w:textAlignment w:val="auto"/>
              <w:rPr>
                <w:b/>
                <w:bCs/>
                <w:sz w:val="18"/>
                <w:szCs w:val="18"/>
                <w:lang w:val="hr-HR" w:eastAsia="hr-HR"/>
              </w:rPr>
            </w:pPr>
            <w:r>
              <w:rPr>
                <w:b/>
                <w:bCs/>
                <w:sz w:val="18"/>
                <w:szCs w:val="18"/>
                <w:lang w:val="hr-HR" w:eastAsia="hr-HR"/>
              </w:rPr>
              <w:t>14.817.384</w:t>
            </w:r>
          </w:p>
        </w:tc>
        <w:tc>
          <w:tcPr>
            <w:tcW w:w="1276" w:type="dxa"/>
            <w:shd w:val="clear" w:color="DDEBF7" w:fill="DDEBF7"/>
            <w:noWrap/>
            <w:vAlign w:val="center"/>
          </w:tcPr>
          <w:p w14:paraId="160C70CA" w14:textId="7743B0CB" w:rsidR="00235C82" w:rsidRPr="006C5D7C" w:rsidRDefault="00235C82" w:rsidP="00235C82">
            <w:pPr>
              <w:overflowPunct/>
              <w:autoSpaceDE/>
              <w:autoSpaceDN/>
              <w:adjustRightInd/>
              <w:spacing w:after="0"/>
              <w:jc w:val="right"/>
              <w:textAlignment w:val="auto"/>
              <w:rPr>
                <w:b/>
                <w:bCs/>
                <w:sz w:val="18"/>
                <w:szCs w:val="18"/>
                <w:lang w:val="hr-HR" w:eastAsia="hr-HR"/>
              </w:rPr>
            </w:pPr>
            <w:r>
              <w:rPr>
                <w:b/>
                <w:bCs/>
                <w:sz w:val="18"/>
                <w:szCs w:val="18"/>
                <w:lang w:val="hr-HR" w:eastAsia="hr-HR"/>
              </w:rPr>
              <w:t>14.817.384</w:t>
            </w:r>
          </w:p>
        </w:tc>
        <w:tc>
          <w:tcPr>
            <w:tcW w:w="1453" w:type="dxa"/>
            <w:shd w:val="clear" w:color="DDEBF7" w:fill="DDEBF7"/>
            <w:noWrap/>
            <w:vAlign w:val="center"/>
          </w:tcPr>
          <w:p w14:paraId="764FB525" w14:textId="592208B2" w:rsidR="00235C82" w:rsidRPr="006C5D7C" w:rsidRDefault="00235C82" w:rsidP="00235C82">
            <w:pPr>
              <w:overflowPunct/>
              <w:autoSpaceDE/>
              <w:autoSpaceDN/>
              <w:adjustRightInd/>
              <w:spacing w:after="0"/>
              <w:jc w:val="right"/>
              <w:textAlignment w:val="auto"/>
              <w:rPr>
                <w:b/>
                <w:bCs/>
                <w:sz w:val="18"/>
                <w:szCs w:val="18"/>
                <w:lang w:val="hr-HR" w:eastAsia="hr-HR"/>
              </w:rPr>
            </w:pPr>
            <w:r>
              <w:rPr>
                <w:b/>
                <w:bCs/>
                <w:sz w:val="18"/>
                <w:szCs w:val="18"/>
                <w:lang w:val="hr-HR" w:eastAsia="hr-HR"/>
              </w:rPr>
              <w:t>13.578.987,86</w:t>
            </w:r>
          </w:p>
        </w:tc>
        <w:tc>
          <w:tcPr>
            <w:tcW w:w="956" w:type="dxa"/>
            <w:shd w:val="clear" w:color="DDEBF7" w:fill="DDEBF7"/>
            <w:vAlign w:val="center"/>
          </w:tcPr>
          <w:p w14:paraId="6AE53C62" w14:textId="6B5ECCC1" w:rsidR="00235C82" w:rsidRPr="006C5D7C" w:rsidRDefault="00235C82" w:rsidP="00235C82">
            <w:pPr>
              <w:overflowPunct/>
              <w:autoSpaceDE/>
              <w:autoSpaceDN/>
              <w:adjustRightInd/>
              <w:spacing w:after="0"/>
              <w:jc w:val="right"/>
              <w:textAlignment w:val="auto"/>
              <w:rPr>
                <w:b/>
                <w:bCs/>
                <w:sz w:val="18"/>
                <w:szCs w:val="18"/>
                <w:lang w:val="hr-HR" w:eastAsia="hr-HR"/>
              </w:rPr>
            </w:pPr>
            <w:r>
              <w:rPr>
                <w:b/>
                <w:bCs/>
                <w:sz w:val="18"/>
                <w:szCs w:val="18"/>
                <w:lang w:val="hr-HR" w:eastAsia="hr-HR"/>
              </w:rPr>
              <w:t>43,60</w:t>
            </w:r>
          </w:p>
        </w:tc>
        <w:tc>
          <w:tcPr>
            <w:tcW w:w="992" w:type="dxa"/>
            <w:shd w:val="clear" w:color="DDEBF7" w:fill="DDEBF7"/>
            <w:vAlign w:val="center"/>
          </w:tcPr>
          <w:p w14:paraId="774A63D3" w14:textId="2FB964EF" w:rsidR="00235C82" w:rsidRPr="006C5D7C" w:rsidRDefault="00235C82" w:rsidP="00235C82">
            <w:pPr>
              <w:overflowPunct/>
              <w:autoSpaceDE/>
              <w:autoSpaceDN/>
              <w:adjustRightInd/>
              <w:spacing w:after="0"/>
              <w:jc w:val="right"/>
              <w:textAlignment w:val="auto"/>
              <w:rPr>
                <w:b/>
                <w:bCs/>
                <w:sz w:val="18"/>
                <w:szCs w:val="18"/>
                <w:lang w:val="hr-HR" w:eastAsia="hr-HR"/>
              </w:rPr>
            </w:pPr>
            <w:r>
              <w:rPr>
                <w:b/>
                <w:bCs/>
                <w:sz w:val="18"/>
                <w:szCs w:val="18"/>
                <w:lang w:val="hr-HR" w:eastAsia="hr-HR"/>
              </w:rPr>
              <w:t>91,64</w:t>
            </w:r>
          </w:p>
        </w:tc>
      </w:tr>
      <w:tr w:rsidR="00235C82" w:rsidRPr="00FC4A3A" w14:paraId="3D1AD328" w14:textId="77777777" w:rsidTr="00FC4045">
        <w:trPr>
          <w:trHeight w:val="294"/>
        </w:trPr>
        <w:tc>
          <w:tcPr>
            <w:tcW w:w="2269" w:type="dxa"/>
            <w:shd w:val="clear" w:color="FFFFFF" w:fill="FFFFFF"/>
            <w:vAlign w:val="center"/>
            <w:hideMark/>
          </w:tcPr>
          <w:p w14:paraId="09675A8E" w14:textId="77777777" w:rsidR="00235C82" w:rsidRPr="00960855" w:rsidRDefault="00235C82" w:rsidP="00235C82">
            <w:pPr>
              <w:overflowPunct/>
              <w:autoSpaceDE/>
              <w:autoSpaceDN/>
              <w:adjustRightInd/>
              <w:spacing w:after="0"/>
              <w:jc w:val="left"/>
              <w:textAlignment w:val="auto"/>
              <w:rPr>
                <w:sz w:val="18"/>
                <w:szCs w:val="18"/>
                <w:lang w:val="hr-HR" w:eastAsia="hr-HR"/>
              </w:rPr>
            </w:pPr>
            <w:r w:rsidRPr="00960855">
              <w:rPr>
                <w:sz w:val="18"/>
                <w:szCs w:val="18"/>
                <w:lang w:val="hr-HR" w:eastAsia="hr-HR"/>
              </w:rPr>
              <w:t>3 RASHODI  POSLOVANJA</w:t>
            </w:r>
          </w:p>
        </w:tc>
        <w:tc>
          <w:tcPr>
            <w:tcW w:w="1559" w:type="dxa"/>
            <w:shd w:val="clear" w:color="FFFFFF" w:fill="FFFFFF"/>
            <w:vAlign w:val="center"/>
          </w:tcPr>
          <w:p w14:paraId="5D099F93" w14:textId="02CCDFD7" w:rsidR="00235C82" w:rsidRPr="00235C82" w:rsidRDefault="00235C82" w:rsidP="00235C82">
            <w:pPr>
              <w:overflowPunct/>
              <w:autoSpaceDE/>
              <w:autoSpaceDN/>
              <w:adjustRightInd/>
              <w:spacing w:after="0"/>
              <w:jc w:val="right"/>
              <w:textAlignment w:val="auto"/>
              <w:rPr>
                <w:sz w:val="18"/>
                <w:szCs w:val="18"/>
                <w:lang w:val="hr-HR" w:eastAsia="hr-HR"/>
              </w:rPr>
            </w:pPr>
            <w:r w:rsidRPr="00235C82">
              <w:rPr>
                <w:bCs/>
                <w:sz w:val="18"/>
                <w:szCs w:val="18"/>
                <w:lang w:val="hr-HR" w:eastAsia="hr-HR"/>
              </w:rPr>
              <w:t>31.116.688,86</w:t>
            </w:r>
          </w:p>
        </w:tc>
        <w:tc>
          <w:tcPr>
            <w:tcW w:w="1560" w:type="dxa"/>
            <w:shd w:val="clear" w:color="FFFFFF" w:fill="FFFFFF"/>
            <w:vAlign w:val="center"/>
          </w:tcPr>
          <w:p w14:paraId="553BA7C3" w14:textId="1FE043C1" w:rsidR="00235C82" w:rsidRPr="00235C82" w:rsidRDefault="00235C82" w:rsidP="00235C82">
            <w:pPr>
              <w:jc w:val="right"/>
              <w:rPr>
                <w:sz w:val="18"/>
                <w:szCs w:val="18"/>
                <w:lang w:val="hr-HR" w:eastAsia="hr-HR"/>
              </w:rPr>
            </w:pPr>
            <w:r w:rsidRPr="00235C82">
              <w:rPr>
                <w:bCs/>
                <w:sz w:val="18"/>
                <w:szCs w:val="18"/>
                <w:lang w:val="hr-HR" w:eastAsia="hr-HR"/>
              </w:rPr>
              <w:t>14.706.734</w:t>
            </w:r>
          </w:p>
        </w:tc>
        <w:tc>
          <w:tcPr>
            <w:tcW w:w="1276" w:type="dxa"/>
            <w:shd w:val="clear" w:color="FFFFFF" w:fill="FFFFFF"/>
            <w:vAlign w:val="center"/>
          </w:tcPr>
          <w:p w14:paraId="6C9FCA1D" w14:textId="7476FE52" w:rsidR="00235C82" w:rsidRPr="00235C82" w:rsidRDefault="00235C82" w:rsidP="00235C82">
            <w:pPr>
              <w:jc w:val="right"/>
              <w:rPr>
                <w:sz w:val="18"/>
                <w:szCs w:val="18"/>
                <w:lang w:val="hr-HR" w:eastAsia="hr-HR"/>
              </w:rPr>
            </w:pPr>
            <w:r w:rsidRPr="00235C82">
              <w:rPr>
                <w:bCs/>
                <w:sz w:val="18"/>
                <w:szCs w:val="18"/>
                <w:lang w:val="hr-HR" w:eastAsia="hr-HR"/>
              </w:rPr>
              <w:t>14.706.734</w:t>
            </w:r>
          </w:p>
        </w:tc>
        <w:tc>
          <w:tcPr>
            <w:tcW w:w="1453" w:type="dxa"/>
            <w:shd w:val="clear" w:color="FFFFFF" w:fill="FFFFFF"/>
            <w:vAlign w:val="center"/>
          </w:tcPr>
          <w:p w14:paraId="4919B86A" w14:textId="011F0DAF" w:rsidR="00235C82" w:rsidRPr="00235C82" w:rsidRDefault="00235C82" w:rsidP="00235C82">
            <w:pPr>
              <w:jc w:val="right"/>
              <w:rPr>
                <w:sz w:val="18"/>
                <w:szCs w:val="18"/>
                <w:lang w:val="hr-HR" w:eastAsia="hr-HR"/>
              </w:rPr>
            </w:pPr>
            <w:r w:rsidRPr="00235C82">
              <w:rPr>
                <w:bCs/>
                <w:sz w:val="18"/>
                <w:szCs w:val="18"/>
                <w:lang w:val="hr-HR" w:eastAsia="hr-HR"/>
              </w:rPr>
              <w:t>13.507.990,51</w:t>
            </w:r>
          </w:p>
        </w:tc>
        <w:tc>
          <w:tcPr>
            <w:tcW w:w="956" w:type="dxa"/>
            <w:shd w:val="clear" w:color="FFFFFF" w:fill="FFFFFF"/>
            <w:vAlign w:val="center"/>
          </w:tcPr>
          <w:p w14:paraId="7AC49A56" w14:textId="604929FF" w:rsidR="00235C82" w:rsidRPr="00235C82" w:rsidRDefault="00235C82" w:rsidP="00235C82">
            <w:pPr>
              <w:jc w:val="right"/>
              <w:rPr>
                <w:sz w:val="18"/>
                <w:szCs w:val="18"/>
                <w:lang w:val="hr-HR" w:eastAsia="hr-HR"/>
              </w:rPr>
            </w:pPr>
            <w:r w:rsidRPr="00235C82">
              <w:rPr>
                <w:bCs/>
                <w:sz w:val="18"/>
                <w:szCs w:val="18"/>
                <w:lang w:val="hr-HR" w:eastAsia="hr-HR"/>
              </w:rPr>
              <w:t>43,41</w:t>
            </w:r>
          </w:p>
        </w:tc>
        <w:tc>
          <w:tcPr>
            <w:tcW w:w="992" w:type="dxa"/>
            <w:shd w:val="clear" w:color="FFFFFF" w:fill="FFFFFF"/>
            <w:vAlign w:val="center"/>
          </w:tcPr>
          <w:p w14:paraId="6361E1A8" w14:textId="015A5E3C" w:rsidR="00235C82" w:rsidRPr="00235C82" w:rsidRDefault="00235C82" w:rsidP="00235C82">
            <w:pPr>
              <w:jc w:val="right"/>
              <w:rPr>
                <w:sz w:val="18"/>
                <w:szCs w:val="18"/>
                <w:lang w:val="hr-HR" w:eastAsia="hr-HR"/>
              </w:rPr>
            </w:pPr>
            <w:r w:rsidRPr="00235C82">
              <w:rPr>
                <w:bCs/>
                <w:sz w:val="18"/>
                <w:szCs w:val="18"/>
                <w:lang w:val="hr-HR" w:eastAsia="hr-HR"/>
              </w:rPr>
              <w:t>91,85</w:t>
            </w:r>
          </w:p>
        </w:tc>
      </w:tr>
      <w:tr w:rsidR="006C5D7C" w:rsidRPr="00FC4A3A" w14:paraId="77FE8AB4" w14:textId="77777777" w:rsidTr="00FC4045">
        <w:trPr>
          <w:trHeight w:val="294"/>
        </w:trPr>
        <w:tc>
          <w:tcPr>
            <w:tcW w:w="2269" w:type="dxa"/>
            <w:shd w:val="clear" w:color="FFFFFF" w:fill="FFFFFF"/>
            <w:noWrap/>
            <w:vAlign w:val="center"/>
            <w:hideMark/>
          </w:tcPr>
          <w:p w14:paraId="4923794D" w14:textId="77777777" w:rsidR="006C5D7C" w:rsidRPr="00960855" w:rsidRDefault="006C5D7C" w:rsidP="006C5D7C">
            <w:pPr>
              <w:overflowPunct/>
              <w:autoSpaceDE/>
              <w:autoSpaceDN/>
              <w:adjustRightInd/>
              <w:spacing w:after="0"/>
              <w:jc w:val="left"/>
              <w:textAlignment w:val="auto"/>
              <w:rPr>
                <w:sz w:val="18"/>
                <w:szCs w:val="18"/>
                <w:lang w:val="hr-HR" w:eastAsia="hr-HR"/>
              </w:rPr>
            </w:pPr>
            <w:r w:rsidRPr="00960855">
              <w:rPr>
                <w:sz w:val="18"/>
                <w:szCs w:val="18"/>
                <w:lang w:val="hr-HR" w:eastAsia="hr-HR"/>
              </w:rPr>
              <w:t>4 RASHODI ZA NEFINANCIJSKU IMOVINU</w:t>
            </w:r>
          </w:p>
        </w:tc>
        <w:tc>
          <w:tcPr>
            <w:tcW w:w="1559" w:type="dxa"/>
            <w:shd w:val="clear" w:color="FFFFFF" w:fill="FFFFFF"/>
            <w:noWrap/>
            <w:vAlign w:val="center"/>
          </w:tcPr>
          <w:p w14:paraId="70F15BA8" w14:textId="121BF2E9" w:rsidR="006C5D7C" w:rsidRPr="00235C82" w:rsidRDefault="00235C82" w:rsidP="00235C82">
            <w:pPr>
              <w:overflowPunct/>
              <w:autoSpaceDE/>
              <w:autoSpaceDN/>
              <w:adjustRightInd/>
              <w:spacing w:after="0"/>
              <w:jc w:val="right"/>
              <w:textAlignment w:val="auto"/>
              <w:rPr>
                <w:sz w:val="18"/>
                <w:szCs w:val="18"/>
                <w:lang w:val="hr-HR" w:eastAsia="hr-HR"/>
              </w:rPr>
            </w:pPr>
            <w:r w:rsidRPr="00235C82">
              <w:rPr>
                <w:sz w:val="18"/>
                <w:szCs w:val="18"/>
                <w:lang w:val="hr-HR" w:eastAsia="hr-HR"/>
              </w:rPr>
              <w:t>30.793,93</w:t>
            </w:r>
          </w:p>
        </w:tc>
        <w:tc>
          <w:tcPr>
            <w:tcW w:w="1560" w:type="dxa"/>
            <w:shd w:val="clear" w:color="FFFFFF" w:fill="FFFFFF"/>
            <w:noWrap/>
            <w:vAlign w:val="center"/>
          </w:tcPr>
          <w:p w14:paraId="76563051" w14:textId="50B5E3CC" w:rsidR="006C5D7C" w:rsidRPr="00235C82" w:rsidRDefault="00235C82" w:rsidP="006C5D7C">
            <w:pPr>
              <w:overflowPunct/>
              <w:autoSpaceDE/>
              <w:autoSpaceDN/>
              <w:adjustRightInd/>
              <w:spacing w:after="0"/>
              <w:jc w:val="right"/>
              <w:textAlignment w:val="auto"/>
              <w:rPr>
                <w:sz w:val="18"/>
                <w:szCs w:val="18"/>
                <w:lang w:val="hr-HR" w:eastAsia="hr-HR"/>
              </w:rPr>
            </w:pPr>
            <w:r w:rsidRPr="00235C82">
              <w:rPr>
                <w:sz w:val="18"/>
                <w:szCs w:val="18"/>
                <w:lang w:val="hr-HR" w:eastAsia="hr-HR"/>
              </w:rPr>
              <w:t>110.650</w:t>
            </w:r>
          </w:p>
        </w:tc>
        <w:tc>
          <w:tcPr>
            <w:tcW w:w="1276" w:type="dxa"/>
            <w:shd w:val="clear" w:color="FFFFFF" w:fill="FFFFFF"/>
            <w:noWrap/>
            <w:vAlign w:val="center"/>
          </w:tcPr>
          <w:p w14:paraId="63889008" w14:textId="03CA4008" w:rsidR="006C5D7C" w:rsidRPr="00235C82" w:rsidRDefault="00235C82" w:rsidP="006C5D7C">
            <w:pPr>
              <w:overflowPunct/>
              <w:autoSpaceDE/>
              <w:autoSpaceDN/>
              <w:adjustRightInd/>
              <w:spacing w:after="0"/>
              <w:jc w:val="right"/>
              <w:textAlignment w:val="auto"/>
              <w:rPr>
                <w:sz w:val="18"/>
                <w:szCs w:val="18"/>
                <w:lang w:val="hr-HR" w:eastAsia="hr-HR"/>
              </w:rPr>
            </w:pPr>
            <w:r w:rsidRPr="00235C82">
              <w:rPr>
                <w:sz w:val="18"/>
                <w:szCs w:val="18"/>
                <w:lang w:val="hr-HR" w:eastAsia="hr-HR"/>
              </w:rPr>
              <w:t>110.650</w:t>
            </w:r>
          </w:p>
        </w:tc>
        <w:tc>
          <w:tcPr>
            <w:tcW w:w="1453" w:type="dxa"/>
            <w:shd w:val="clear" w:color="FFFFFF" w:fill="FFFFFF"/>
            <w:noWrap/>
            <w:vAlign w:val="center"/>
          </w:tcPr>
          <w:p w14:paraId="090A5F72" w14:textId="7B883215" w:rsidR="006C5D7C" w:rsidRPr="00235C82" w:rsidRDefault="00235C82" w:rsidP="006C5D7C">
            <w:pPr>
              <w:overflowPunct/>
              <w:autoSpaceDE/>
              <w:autoSpaceDN/>
              <w:adjustRightInd/>
              <w:spacing w:after="0"/>
              <w:jc w:val="right"/>
              <w:textAlignment w:val="auto"/>
              <w:rPr>
                <w:sz w:val="18"/>
                <w:szCs w:val="18"/>
                <w:lang w:val="hr-HR" w:eastAsia="hr-HR"/>
              </w:rPr>
            </w:pPr>
            <w:r w:rsidRPr="00235C82">
              <w:rPr>
                <w:sz w:val="18"/>
                <w:szCs w:val="18"/>
                <w:lang w:val="hr-HR" w:eastAsia="hr-HR"/>
              </w:rPr>
              <w:t>70.997,35</w:t>
            </w:r>
          </w:p>
        </w:tc>
        <w:tc>
          <w:tcPr>
            <w:tcW w:w="956" w:type="dxa"/>
            <w:shd w:val="clear" w:color="FFFFFF" w:fill="FFFFFF"/>
            <w:vAlign w:val="center"/>
          </w:tcPr>
          <w:p w14:paraId="6DFC5866" w14:textId="6ADC049E" w:rsidR="006C5D7C" w:rsidRPr="00235C82" w:rsidRDefault="00235C82" w:rsidP="00FC4045">
            <w:pPr>
              <w:jc w:val="right"/>
              <w:rPr>
                <w:sz w:val="18"/>
                <w:szCs w:val="18"/>
                <w:lang w:val="hr-HR" w:eastAsia="hr-HR"/>
              </w:rPr>
            </w:pPr>
            <w:r w:rsidRPr="00235C82">
              <w:rPr>
                <w:sz w:val="18"/>
                <w:szCs w:val="18"/>
                <w:lang w:val="hr-HR" w:eastAsia="hr-HR"/>
              </w:rPr>
              <w:t>230,56</w:t>
            </w:r>
          </w:p>
        </w:tc>
        <w:tc>
          <w:tcPr>
            <w:tcW w:w="992" w:type="dxa"/>
            <w:shd w:val="clear" w:color="FFFFFF" w:fill="FFFFFF"/>
            <w:vAlign w:val="center"/>
          </w:tcPr>
          <w:p w14:paraId="04D845E8" w14:textId="20FD8E8B" w:rsidR="006C5D7C" w:rsidRPr="00235C82" w:rsidRDefault="00235C82" w:rsidP="00FC4045">
            <w:pPr>
              <w:jc w:val="right"/>
              <w:rPr>
                <w:sz w:val="18"/>
                <w:szCs w:val="18"/>
                <w:lang w:val="hr-HR" w:eastAsia="hr-HR"/>
              </w:rPr>
            </w:pPr>
            <w:r w:rsidRPr="00235C82">
              <w:rPr>
                <w:sz w:val="18"/>
                <w:szCs w:val="18"/>
                <w:lang w:val="hr-HR" w:eastAsia="hr-HR"/>
              </w:rPr>
              <w:t>64,16</w:t>
            </w:r>
          </w:p>
        </w:tc>
      </w:tr>
      <w:tr w:rsidR="006430B8" w:rsidRPr="00FC4A3A" w14:paraId="7A6AE773" w14:textId="77777777" w:rsidTr="003950D6">
        <w:trPr>
          <w:trHeight w:val="294"/>
        </w:trPr>
        <w:tc>
          <w:tcPr>
            <w:tcW w:w="2269" w:type="dxa"/>
            <w:shd w:val="clear" w:color="DDEBF7" w:fill="DDEBF7"/>
            <w:vAlign w:val="center"/>
            <w:hideMark/>
          </w:tcPr>
          <w:p w14:paraId="7B1C08C8" w14:textId="77777777" w:rsidR="006430B8" w:rsidRPr="00960855" w:rsidRDefault="006430B8" w:rsidP="0020610B">
            <w:pPr>
              <w:overflowPunct/>
              <w:autoSpaceDE/>
              <w:autoSpaceDN/>
              <w:adjustRightInd/>
              <w:spacing w:after="0"/>
              <w:jc w:val="left"/>
              <w:textAlignment w:val="auto"/>
              <w:rPr>
                <w:b/>
                <w:bCs/>
                <w:sz w:val="18"/>
                <w:szCs w:val="18"/>
                <w:lang w:val="hr-HR" w:eastAsia="hr-HR"/>
              </w:rPr>
            </w:pPr>
            <w:r w:rsidRPr="00960855">
              <w:rPr>
                <w:b/>
                <w:bCs/>
                <w:sz w:val="18"/>
                <w:szCs w:val="18"/>
                <w:lang w:val="hr-HR" w:eastAsia="hr-HR"/>
              </w:rPr>
              <w:t>RAZLIKA - VIŠAK / MANJAK</w:t>
            </w:r>
          </w:p>
        </w:tc>
        <w:tc>
          <w:tcPr>
            <w:tcW w:w="1559" w:type="dxa"/>
            <w:shd w:val="clear" w:color="DDEBF7" w:fill="DDEBF7"/>
            <w:noWrap/>
            <w:vAlign w:val="center"/>
            <w:hideMark/>
          </w:tcPr>
          <w:p w14:paraId="7D89E859" w14:textId="77777777" w:rsidR="006430B8" w:rsidRPr="00960855" w:rsidRDefault="00FC32E5" w:rsidP="0020610B">
            <w:pPr>
              <w:overflowPunct/>
              <w:autoSpaceDE/>
              <w:autoSpaceDN/>
              <w:adjustRightInd/>
              <w:spacing w:after="0"/>
              <w:jc w:val="right"/>
              <w:textAlignment w:val="auto"/>
              <w:rPr>
                <w:b/>
                <w:bCs/>
                <w:sz w:val="18"/>
                <w:szCs w:val="18"/>
                <w:lang w:val="hr-HR" w:eastAsia="hr-HR"/>
              </w:rPr>
            </w:pPr>
            <w:r>
              <w:rPr>
                <w:b/>
                <w:bCs/>
                <w:sz w:val="18"/>
                <w:szCs w:val="18"/>
                <w:lang w:val="hr-HR" w:eastAsia="hr-HR"/>
              </w:rPr>
              <w:t>0</w:t>
            </w:r>
          </w:p>
        </w:tc>
        <w:tc>
          <w:tcPr>
            <w:tcW w:w="1560" w:type="dxa"/>
            <w:shd w:val="clear" w:color="DDEBF7" w:fill="DDEBF7"/>
            <w:noWrap/>
            <w:vAlign w:val="center"/>
            <w:hideMark/>
          </w:tcPr>
          <w:p w14:paraId="2EA39CBD" w14:textId="77777777" w:rsidR="006430B8" w:rsidRPr="00960855" w:rsidRDefault="006430B8" w:rsidP="0020610B">
            <w:pPr>
              <w:overflowPunct/>
              <w:autoSpaceDE/>
              <w:autoSpaceDN/>
              <w:adjustRightInd/>
              <w:spacing w:after="0"/>
              <w:jc w:val="right"/>
              <w:textAlignment w:val="auto"/>
              <w:rPr>
                <w:b/>
                <w:bCs/>
                <w:sz w:val="18"/>
                <w:szCs w:val="18"/>
                <w:lang w:val="hr-HR" w:eastAsia="hr-HR"/>
              </w:rPr>
            </w:pPr>
            <w:r w:rsidRPr="00960855">
              <w:rPr>
                <w:b/>
                <w:bCs/>
                <w:sz w:val="18"/>
                <w:szCs w:val="18"/>
                <w:lang w:val="hr-HR" w:eastAsia="hr-HR"/>
              </w:rPr>
              <w:t xml:space="preserve">0 </w:t>
            </w:r>
          </w:p>
        </w:tc>
        <w:tc>
          <w:tcPr>
            <w:tcW w:w="1276" w:type="dxa"/>
            <w:shd w:val="clear" w:color="DDEBF7" w:fill="DDEBF7"/>
            <w:noWrap/>
            <w:vAlign w:val="center"/>
            <w:hideMark/>
          </w:tcPr>
          <w:p w14:paraId="55C0C29E" w14:textId="77777777" w:rsidR="006430B8" w:rsidRPr="00960855" w:rsidRDefault="006430B8" w:rsidP="0020610B">
            <w:pPr>
              <w:overflowPunct/>
              <w:autoSpaceDE/>
              <w:autoSpaceDN/>
              <w:adjustRightInd/>
              <w:spacing w:after="0"/>
              <w:jc w:val="right"/>
              <w:textAlignment w:val="auto"/>
              <w:rPr>
                <w:b/>
                <w:bCs/>
                <w:sz w:val="18"/>
                <w:szCs w:val="18"/>
                <w:lang w:val="hr-HR" w:eastAsia="hr-HR"/>
              </w:rPr>
            </w:pPr>
            <w:r w:rsidRPr="00960855">
              <w:rPr>
                <w:b/>
                <w:bCs/>
                <w:sz w:val="18"/>
                <w:szCs w:val="18"/>
                <w:lang w:val="hr-HR" w:eastAsia="hr-HR"/>
              </w:rPr>
              <w:t xml:space="preserve">0 </w:t>
            </w:r>
          </w:p>
        </w:tc>
        <w:tc>
          <w:tcPr>
            <w:tcW w:w="1453" w:type="dxa"/>
            <w:shd w:val="clear" w:color="DDEBF7" w:fill="DDEBF7"/>
            <w:noWrap/>
            <w:vAlign w:val="center"/>
            <w:hideMark/>
          </w:tcPr>
          <w:p w14:paraId="5EF71DEF" w14:textId="77777777" w:rsidR="006430B8" w:rsidRPr="00960855" w:rsidRDefault="006430B8" w:rsidP="0020610B">
            <w:pPr>
              <w:overflowPunct/>
              <w:autoSpaceDE/>
              <w:autoSpaceDN/>
              <w:adjustRightInd/>
              <w:spacing w:after="0"/>
              <w:jc w:val="right"/>
              <w:textAlignment w:val="auto"/>
              <w:rPr>
                <w:b/>
                <w:bCs/>
                <w:sz w:val="18"/>
                <w:szCs w:val="18"/>
                <w:lang w:val="hr-HR" w:eastAsia="hr-HR"/>
              </w:rPr>
            </w:pPr>
            <w:r w:rsidRPr="00960855">
              <w:rPr>
                <w:b/>
                <w:bCs/>
                <w:sz w:val="18"/>
                <w:szCs w:val="18"/>
                <w:lang w:val="hr-HR" w:eastAsia="hr-HR"/>
              </w:rPr>
              <w:t>0,00</w:t>
            </w:r>
          </w:p>
        </w:tc>
        <w:tc>
          <w:tcPr>
            <w:tcW w:w="956" w:type="dxa"/>
            <w:shd w:val="clear" w:color="DDEBF7" w:fill="DDEBF7"/>
            <w:vAlign w:val="center"/>
            <w:hideMark/>
          </w:tcPr>
          <w:p w14:paraId="4944414D" w14:textId="77777777" w:rsidR="006430B8" w:rsidRPr="00960855" w:rsidRDefault="006430B8" w:rsidP="0020610B">
            <w:pPr>
              <w:overflowPunct/>
              <w:autoSpaceDE/>
              <w:autoSpaceDN/>
              <w:adjustRightInd/>
              <w:spacing w:after="0"/>
              <w:jc w:val="right"/>
              <w:textAlignment w:val="auto"/>
              <w:rPr>
                <w:b/>
                <w:bCs/>
                <w:sz w:val="18"/>
                <w:szCs w:val="18"/>
                <w:lang w:val="hr-HR" w:eastAsia="hr-HR"/>
              </w:rPr>
            </w:pPr>
            <w:r w:rsidRPr="00960855">
              <w:rPr>
                <w:b/>
                <w:bCs/>
                <w:sz w:val="18"/>
                <w:szCs w:val="18"/>
                <w:lang w:val="hr-HR" w:eastAsia="hr-HR"/>
              </w:rPr>
              <w:t>0</w:t>
            </w:r>
          </w:p>
        </w:tc>
        <w:tc>
          <w:tcPr>
            <w:tcW w:w="992" w:type="dxa"/>
            <w:shd w:val="clear" w:color="DDEBF7" w:fill="DDEBF7"/>
            <w:vAlign w:val="center"/>
          </w:tcPr>
          <w:p w14:paraId="5A89FAE4" w14:textId="77777777" w:rsidR="006430B8" w:rsidRPr="00960855" w:rsidRDefault="006430B8" w:rsidP="0020610B">
            <w:pPr>
              <w:overflowPunct/>
              <w:autoSpaceDE/>
              <w:autoSpaceDN/>
              <w:adjustRightInd/>
              <w:spacing w:after="0"/>
              <w:jc w:val="right"/>
              <w:textAlignment w:val="auto"/>
              <w:rPr>
                <w:b/>
                <w:bCs/>
                <w:sz w:val="18"/>
                <w:szCs w:val="18"/>
                <w:lang w:val="hr-HR" w:eastAsia="hr-HR"/>
              </w:rPr>
            </w:pPr>
            <w:r w:rsidRPr="00960855">
              <w:rPr>
                <w:b/>
                <w:bCs/>
                <w:sz w:val="18"/>
                <w:szCs w:val="18"/>
                <w:lang w:val="hr-HR" w:eastAsia="hr-HR"/>
              </w:rPr>
              <w:t>0</w:t>
            </w:r>
          </w:p>
        </w:tc>
      </w:tr>
    </w:tbl>
    <w:p w14:paraId="633D6FD3" w14:textId="49576E17" w:rsidR="00235C82" w:rsidRDefault="00235C82" w:rsidP="006430B8">
      <w:pPr>
        <w:rPr>
          <w:sz w:val="24"/>
          <w:szCs w:val="24"/>
        </w:rPr>
      </w:pPr>
    </w:p>
    <w:p w14:paraId="3A275501" w14:textId="188C0066" w:rsidR="009B1812" w:rsidRDefault="009B1812" w:rsidP="006430B8">
      <w:pPr>
        <w:rPr>
          <w:sz w:val="24"/>
          <w:szCs w:val="24"/>
        </w:rPr>
      </w:pPr>
    </w:p>
    <w:p w14:paraId="5264FFCB" w14:textId="5BA85122" w:rsidR="006430B8" w:rsidRPr="00855AD5" w:rsidRDefault="006430B8" w:rsidP="006430B8">
      <w:pPr>
        <w:rPr>
          <w:sz w:val="24"/>
          <w:szCs w:val="24"/>
        </w:rPr>
      </w:pPr>
      <w:r w:rsidRPr="00855AD5">
        <w:rPr>
          <w:sz w:val="24"/>
          <w:szCs w:val="24"/>
        </w:rPr>
        <w:lastRenderedPageBreak/>
        <w:t>PRIHODI I PRIMICI</w:t>
      </w:r>
    </w:p>
    <w:p w14:paraId="07B5F22E" w14:textId="78221C06" w:rsidR="006430B8" w:rsidRDefault="006430B8" w:rsidP="006430B8">
      <w:pPr>
        <w:rPr>
          <w:sz w:val="24"/>
          <w:szCs w:val="24"/>
        </w:rPr>
      </w:pPr>
      <w:r w:rsidRPr="00855AD5">
        <w:rPr>
          <w:sz w:val="24"/>
          <w:szCs w:val="24"/>
        </w:rPr>
        <w:t xml:space="preserve">Državno izborno povjerenstvo </w:t>
      </w:r>
      <w:r>
        <w:rPr>
          <w:sz w:val="24"/>
          <w:szCs w:val="24"/>
        </w:rPr>
        <w:t>f</w:t>
      </w:r>
      <w:r w:rsidRPr="00855AD5">
        <w:rPr>
          <w:sz w:val="24"/>
          <w:szCs w:val="24"/>
        </w:rPr>
        <w:t xml:space="preserve">inancira </w:t>
      </w:r>
      <w:r>
        <w:rPr>
          <w:sz w:val="24"/>
          <w:szCs w:val="24"/>
        </w:rPr>
        <w:t xml:space="preserve">se </w:t>
      </w:r>
      <w:r w:rsidRPr="00855AD5">
        <w:rPr>
          <w:sz w:val="24"/>
          <w:szCs w:val="24"/>
        </w:rPr>
        <w:t>iz drža</w:t>
      </w:r>
      <w:r>
        <w:rPr>
          <w:sz w:val="24"/>
          <w:szCs w:val="24"/>
        </w:rPr>
        <w:t>v</w:t>
      </w:r>
      <w:r w:rsidRPr="00855AD5">
        <w:rPr>
          <w:sz w:val="24"/>
          <w:szCs w:val="24"/>
        </w:rPr>
        <w:t>nog proračuna, izvor financiranja 11 Opći prihodi i primici</w:t>
      </w:r>
      <w:r>
        <w:rPr>
          <w:sz w:val="24"/>
          <w:szCs w:val="24"/>
        </w:rPr>
        <w:t xml:space="preserve"> </w:t>
      </w:r>
      <w:r w:rsidR="002D57BB">
        <w:rPr>
          <w:sz w:val="24"/>
          <w:szCs w:val="24"/>
        </w:rPr>
        <w:t>te</w:t>
      </w:r>
      <w:r>
        <w:rPr>
          <w:sz w:val="24"/>
          <w:szCs w:val="24"/>
        </w:rPr>
        <w:t xml:space="preserve"> ostvaruje prihode u okviru skupine prihoda 67 Prihodi iz </w:t>
      </w:r>
      <w:r w:rsidR="009B1812">
        <w:rPr>
          <w:sz w:val="24"/>
          <w:szCs w:val="24"/>
        </w:rPr>
        <w:t xml:space="preserve">nadležnog </w:t>
      </w:r>
      <w:r>
        <w:rPr>
          <w:sz w:val="24"/>
          <w:szCs w:val="24"/>
        </w:rPr>
        <w:t xml:space="preserve">proračuna </w:t>
      </w:r>
      <w:r w:rsidR="009B1812">
        <w:rPr>
          <w:sz w:val="24"/>
          <w:szCs w:val="24"/>
        </w:rPr>
        <w:t>te nema vlastitih prihoda</w:t>
      </w:r>
      <w:r>
        <w:rPr>
          <w:sz w:val="24"/>
          <w:szCs w:val="24"/>
        </w:rPr>
        <w:t xml:space="preserve">. </w:t>
      </w:r>
      <w:r w:rsidR="009B1812">
        <w:rPr>
          <w:sz w:val="24"/>
          <w:szCs w:val="24"/>
        </w:rPr>
        <w:t xml:space="preserve">U okviru poslovanja </w:t>
      </w:r>
      <w:r>
        <w:rPr>
          <w:sz w:val="24"/>
          <w:szCs w:val="24"/>
        </w:rPr>
        <w:t xml:space="preserve">moguće je ostvarivanje prihoda u okviru skupine prihoda 63 Pomoći iz inozemstva i od subjekata unutar opće države izvora financiranja 51 Pomoći EU. </w:t>
      </w:r>
    </w:p>
    <w:p w14:paraId="6A18839C" w14:textId="1C2FE3E1" w:rsidR="006430B8" w:rsidRDefault="00C61F2D" w:rsidP="006430B8">
      <w:pPr>
        <w:rPr>
          <w:sz w:val="24"/>
          <w:szCs w:val="24"/>
        </w:rPr>
      </w:pPr>
      <w:r>
        <w:rPr>
          <w:sz w:val="24"/>
          <w:szCs w:val="24"/>
        </w:rPr>
        <w:t xml:space="preserve">U svibnju </w:t>
      </w:r>
      <w:r w:rsidR="002A39FF">
        <w:rPr>
          <w:sz w:val="24"/>
          <w:szCs w:val="24"/>
        </w:rPr>
        <w:t>2025. t</w:t>
      </w:r>
      <w:r w:rsidR="00F82EDD">
        <w:rPr>
          <w:sz w:val="24"/>
          <w:szCs w:val="24"/>
        </w:rPr>
        <w:t>ražena je i odobrena preraspodjela sredstava unutar odobrenog proračuna Državnog izbornog povj</w:t>
      </w:r>
      <w:r w:rsidR="002D57BB">
        <w:rPr>
          <w:sz w:val="24"/>
          <w:szCs w:val="24"/>
        </w:rPr>
        <w:t>erenstva, a u listopad</w:t>
      </w:r>
      <w:r w:rsidR="00F82EDD">
        <w:rPr>
          <w:sz w:val="24"/>
          <w:szCs w:val="24"/>
        </w:rPr>
        <w:t>u 2025. prove</w:t>
      </w:r>
      <w:r w:rsidR="00886F76">
        <w:rPr>
          <w:sz w:val="24"/>
          <w:szCs w:val="24"/>
        </w:rPr>
        <w:t>den</w:t>
      </w:r>
      <w:r>
        <w:rPr>
          <w:sz w:val="24"/>
          <w:szCs w:val="24"/>
        </w:rPr>
        <w:t>e</w:t>
      </w:r>
      <w:r w:rsidR="00886F76">
        <w:rPr>
          <w:sz w:val="24"/>
          <w:szCs w:val="24"/>
        </w:rPr>
        <w:t xml:space="preserve"> </w:t>
      </w:r>
      <w:r w:rsidR="002D57BB">
        <w:rPr>
          <w:sz w:val="24"/>
          <w:szCs w:val="24"/>
        </w:rPr>
        <w:t>s</w:t>
      </w:r>
      <w:r>
        <w:rPr>
          <w:sz w:val="24"/>
          <w:szCs w:val="24"/>
        </w:rPr>
        <w:t>u</w:t>
      </w:r>
      <w:r w:rsidR="002D57BB">
        <w:rPr>
          <w:sz w:val="24"/>
          <w:szCs w:val="24"/>
        </w:rPr>
        <w:t xml:space="preserve"> </w:t>
      </w:r>
      <w:r w:rsidR="00886F76">
        <w:rPr>
          <w:sz w:val="24"/>
          <w:szCs w:val="24"/>
        </w:rPr>
        <w:t>izmjen</w:t>
      </w:r>
      <w:r w:rsidR="002D57BB">
        <w:rPr>
          <w:sz w:val="24"/>
          <w:szCs w:val="24"/>
        </w:rPr>
        <w:t>e</w:t>
      </w:r>
      <w:r w:rsidR="00886F76">
        <w:rPr>
          <w:sz w:val="24"/>
          <w:szCs w:val="24"/>
        </w:rPr>
        <w:t xml:space="preserve"> i dopun</w:t>
      </w:r>
      <w:r w:rsidR="002D57BB">
        <w:rPr>
          <w:sz w:val="24"/>
          <w:szCs w:val="24"/>
        </w:rPr>
        <w:t>e</w:t>
      </w:r>
      <w:r w:rsidR="00886F76">
        <w:rPr>
          <w:sz w:val="24"/>
          <w:szCs w:val="24"/>
        </w:rPr>
        <w:t xml:space="preserve"> financijskog plana proračunskog korisnika za 2025. suk</w:t>
      </w:r>
      <w:r>
        <w:rPr>
          <w:sz w:val="24"/>
          <w:szCs w:val="24"/>
        </w:rPr>
        <w:t>lad</w:t>
      </w:r>
      <w:r w:rsidR="00886F76">
        <w:rPr>
          <w:sz w:val="24"/>
          <w:szCs w:val="24"/>
        </w:rPr>
        <w:t>no zahtjevu Ministarstva financija za uštedama od minimalno 3% utvrđenog financijskog plana proračunskog korisnika.</w:t>
      </w:r>
      <w:r w:rsidR="00F82EDD">
        <w:rPr>
          <w:sz w:val="24"/>
          <w:szCs w:val="24"/>
        </w:rPr>
        <w:t xml:space="preserve"> </w:t>
      </w:r>
    </w:p>
    <w:p w14:paraId="173859F4" w14:textId="424109E7" w:rsidR="00B21498" w:rsidRDefault="006430B8" w:rsidP="00B62488">
      <w:pPr>
        <w:rPr>
          <w:sz w:val="24"/>
          <w:szCs w:val="24"/>
        </w:rPr>
      </w:pPr>
      <w:r w:rsidRPr="00F267C7">
        <w:rPr>
          <w:sz w:val="24"/>
          <w:szCs w:val="24"/>
        </w:rPr>
        <w:t xml:space="preserve">U razdoblju od 1. siječnja do </w:t>
      </w:r>
      <w:r w:rsidR="005D2653" w:rsidRPr="00F267C7">
        <w:rPr>
          <w:sz w:val="24"/>
          <w:szCs w:val="24"/>
        </w:rPr>
        <w:t>31</w:t>
      </w:r>
      <w:r w:rsidRPr="00F267C7">
        <w:rPr>
          <w:sz w:val="24"/>
          <w:szCs w:val="24"/>
        </w:rPr>
        <w:t xml:space="preserve">. </w:t>
      </w:r>
      <w:r w:rsidR="005D2653" w:rsidRPr="00F267C7">
        <w:rPr>
          <w:sz w:val="24"/>
          <w:szCs w:val="24"/>
        </w:rPr>
        <w:t>prosinc</w:t>
      </w:r>
      <w:r w:rsidRPr="00F267C7">
        <w:rPr>
          <w:sz w:val="24"/>
          <w:szCs w:val="24"/>
        </w:rPr>
        <w:t xml:space="preserve">a </w:t>
      </w:r>
      <w:r w:rsidR="00630F4C" w:rsidRPr="00F267C7">
        <w:rPr>
          <w:sz w:val="24"/>
          <w:szCs w:val="24"/>
        </w:rPr>
        <w:t>202</w:t>
      </w:r>
      <w:r w:rsidR="00F267C7" w:rsidRPr="00F267C7">
        <w:rPr>
          <w:sz w:val="24"/>
          <w:szCs w:val="24"/>
        </w:rPr>
        <w:t>5</w:t>
      </w:r>
      <w:r w:rsidR="00630F4C" w:rsidRPr="00F267C7">
        <w:rPr>
          <w:sz w:val="24"/>
          <w:szCs w:val="24"/>
        </w:rPr>
        <w:t xml:space="preserve">. </w:t>
      </w:r>
      <w:r w:rsidRPr="00F267C7">
        <w:rPr>
          <w:sz w:val="24"/>
          <w:szCs w:val="24"/>
        </w:rPr>
        <w:t xml:space="preserve">prihodi su ostvareni u iznosu od </w:t>
      </w:r>
      <w:r w:rsidR="00F267C7" w:rsidRPr="00F267C7">
        <w:rPr>
          <w:bCs/>
          <w:sz w:val="24"/>
          <w:szCs w:val="24"/>
          <w:lang w:val="hr-HR" w:eastAsia="hr-HR"/>
        </w:rPr>
        <w:t xml:space="preserve">13.578.987,86 </w:t>
      </w:r>
      <w:r w:rsidR="00D6201A" w:rsidRPr="00F267C7">
        <w:rPr>
          <w:sz w:val="24"/>
          <w:szCs w:val="24"/>
        </w:rPr>
        <w:t>eura</w:t>
      </w:r>
      <w:r w:rsidR="005D2653" w:rsidRPr="00F267C7">
        <w:rPr>
          <w:sz w:val="24"/>
          <w:szCs w:val="24"/>
        </w:rPr>
        <w:t xml:space="preserve"> što iznosi </w:t>
      </w:r>
      <w:r w:rsidR="00F267C7">
        <w:rPr>
          <w:sz w:val="24"/>
          <w:szCs w:val="24"/>
        </w:rPr>
        <w:t>91,64</w:t>
      </w:r>
      <w:r w:rsidRPr="00F267C7">
        <w:rPr>
          <w:sz w:val="24"/>
          <w:szCs w:val="24"/>
        </w:rPr>
        <w:t>%</w:t>
      </w:r>
      <w:r>
        <w:rPr>
          <w:sz w:val="24"/>
          <w:szCs w:val="24"/>
        </w:rPr>
        <w:t xml:space="preserve"> od </w:t>
      </w:r>
      <w:r w:rsidR="005D2653">
        <w:rPr>
          <w:sz w:val="24"/>
          <w:szCs w:val="24"/>
        </w:rPr>
        <w:t xml:space="preserve">plana </w:t>
      </w:r>
      <w:r>
        <w:rPr>
          <w:sz w:val="24"/>
          <w:szCs w:val="24"/>
        </w:rPr>
        <w:t>za 202</w:t>
      </w:r>
      <w:r w:rsidR="00F267C7">
        <w:rPr>
          <w:sz w:val="24"/>
          <w:szCs w:val="24"/>
        </w:rPr>
        <w:t>5</w:t>
      </w:r>
      <w:r>
        <w:rPr>
          <w:sz w:val="24"/>
          <w:szCs w:val="24"/>
        </w:rPr>
        <w:t xml:space="preserve">. Ostvareni prihodi </w:t>
      </w:r>
      <w:r w:rsidR="00F267C7">
        <w:rPr>
          <w:sz w:val="24"/>
          <w:szCs w:val="24"/>
        </w:rPr>
        <w:t>u cijelosti se odno</w:t>
      </w:r>
      <w:r w:rsidR="003C3819">
        <w:rPr>
          <w:sz w:val="24"/>
          <w:szCs w:val="24"/>
        </w:rPr>
        <w:t>se na opće prihode i primitke - i</w:t>
      </w:r>
      <w:r w:rsidR="00F267C7">
        <w:rPr>
          <w:sz w:val="24"/>
          <w:szCs w:val="24"/>
        </w:rPr>
        <w:t xml:space="preserve">zvor financiranja 11 </w:t>
      </w:r>
      <w:r w:rsidR="007334EC">
        <w:rPr>
          <w:sz w:val="24"/>
          <w:szCs w:val="24"/>
        </w:rPr>
        <w:t xml:space="preserve">neophodne za redovno poslovanje. </w:t>
      </w:r>
      <w:r w:rsidR="00B62488">
        <w:rPr>
          <w:sz w:val="24"/>
          <w:szCs w:val="24"/>
        </w:rPr>
        <w:t xml:space="preserve">Prihodi su </w:t>
      </w:r>
      <w:r w:rsidR="00B62488" w:rsidRPr="007334EC">
        <w:rPr>
          <w:sz w:val="24"/>
          <w:szCs w:val="24"/>
        </w:rPr>
        <w:t xml:space="preserve">ostvareni u nešto manjem iznosu u odnosu na planirano prvenstveno zbog smanjenih izdataka </w:t>
      </w:r>
      <w:r w:rsidR="007334EC" w:rsidRPr="007334EC">
        <w:rPr>
          <w:sz w:val="24"/>
          <w:szCs w:val="24"/>
        </w:rPr>
        <w:t>na aktivnosti A896002 – Administracija i upravljanje za zaposlene i materijale rashode, te smanjenih izdataka na aktivnosti K896003 – Informatizacija Državnog izbornog povjerenstva za ulaganja u razvoj specifičnih aplikacija i evidencija.</w:t>
      </w:r>
    </w:p>
    <w:p w14:paraId="5D359618" w14:textId="3D33663D" w:rsidR="00BC224D" w:rsidRDefault="00BC224D" w:rsidP="00BC224D">
      <w:pPr>
        <w:spacing w:after="0"/>
        <w:rPr>
          <w:sz w:val="24"/>
          <w:szCs w:val="24"/>
        </w:rPr>
      </w:pPr>
      <w:r>
        <w:rPr>
          <w:sz w:val="24"/>
          <w:szCs w:val="24"/>
        </w:rPr>
        <w:t>U odnosu na isto razdoblje prethodne godine ostvareni prihodi su značajno smanjeni, a što je prvenstveno vezano uz aktivnost A896001 – Provedba izbora</w:t>
      </w:r>
      <w:r w:rsidR="002D57BB">
        <w:rPr>
          <w:sz w:val="24"/>
          <w:szCs w:val="24"/>
        </w:rPr>
        <w:t>.</w:t>
      </w:r>
      <w:r>
        <w:rPr>
          <w:sz w:val="24"/>
          <w:szCs w:val="24"/>
        </w:rPr>
        <w:t xml:space="preserve"> </w:t>
      </w:r>
      <w:r w:rsidRPr="00E153D3">
        <w:rPr>
          <w:sz w:val="24"/>
          <w:szCs w:val="24"/>
        </w:rPr>
        <w:t xml:space="preserve">Do takvog znatnog odstupanja došlo </w:t>
      </w:r>
      <w:r w:rsidR="00C61F2D">
        <w:rPr>
          <w:sz w:val="24"/>
          <w:szCs w:val="24"/>
        </w:rPr>
        <w:t xml:space="preserve">je </w:t>
      </w:r>
      <w:r w:rsidRPr="00E153D3">
        <w:rPr>
          <w:sz w:val="24"/>
          <w:szCs w:val="24"/>
        </w:rPr>
        <w:t xml:space="preserve">zbog održavanja većeg broja izbora na državnoj razini u 2024. </w:t>
      </w:r>
      <w:r>
        <w:rPr>
          <w:sz w:val="24"/>
          <w:szCs w:val="24"/>
        </w:rPr>
        <w:t>u odnosu na 2025.</w:t>
      </w:r>
    </w:p>
    <w:p w14:paraId="7C3A107B" w14:textId="77777777" w:rsidR="006430B8" w:rsidRDefault="006430B8" w:rsidP="006430B8">
      <w:pPr>
        <w:rPr>
          <w:sz w:val="24"/>
          <w:szCs w:val="24"/>
        </w:rPr>
      </w:pPr>
    </w:p>
    <w:p w14:paraId="5A973A64" w14:textId="77777777" w:rsidR="006430B8" w:rsidRDefault="006430B8" w:rsidP="006430B8">
      <w:pPr>
        <w:rPr>
          <w:sz w:val="24"/>
          <w:szCs w:val="24"/>
        </w:rPr>
      </w:pPr>
      <w:r w:rsidRPr="00506DB6">
        <w:rPr>
          <w:sz w:val="24"/>
          <w:szCs w:val="24"/>
        </w:rPr>
        <w:t>RASHODI I IZDACI</w:t>
      </w:r>
    </w:p>
    <w:p w14:paraId="76A7E3F8" w14:textId="43609C91" w:rsidR="006430B8" w:rsidRDefault="006430B8" w:rsidP="006430B8">
      <w:pPr>
        <w:rPr>
          <w:sz w:val="24"/>
          <w:szCs w:val="24"/>
        </w:rPr>
      </w:pPr>
      <w:r>
        <w:rPr>
          <w:sz w:val="24"/>
          <w:szCs w:val="24"/>
        </w:rPr>
        <w:t xml:space="preserve">Rashodi i izdaci </w:t>
      </w:r>
      <w:r w:rsidRPr="00855AD5">
        <w:rPr>
          <w:sz w:val="24"/>
          <w:szCs w:val="24"/>
        </w:rPr>
        <w:t xml:space="preserve">za razdoblje </w:t>
      </w:r>
      <w:r w:rsidR="00CE00C2">
        <w:rPr>
          <w:sz w:val="24"/>
          <w:szCs w:val="24"/>
        </w:rPr>
        <w:t xml:space="preserve">1.1. </w:t>
      </w:r>
      <w:r>
        <w:rPr>
          <w:sz w:val="24"/>
          <w:szCs w:val="24"/>
        </w:rPr>
        <w:t xml:space="preserve">– </w:t>
      </w:r>
      <w:r w:rsidR="005D2653">
        <w:rPr>
          <w:sz w:val="24"/>
          <w:szCs w:val="24"/>
        </w:rPr>
        <w:t>31.12</w:t>
      </w:r>
      <w:r>
        <w:rPr>
          <w:sz w:val="24"/>
          <w:szCs w:val="24"/>
        </w:rPr>
        <w:t>.202</w:t>
      </w:r>
      <w:r w:rsidR="007334EC">
        <w:rPr>
          <w:sz w:val="24"/>
          <w:szCs w:val="24"/>
        </w:rPr>
        <w:t>5</w:t>
      </w:r>
      <w:r>
        <w:rPr>
          <w:sz w:val="24"/>
          <w:szCs w:val="24"/>
        </w:rPr>
        <w:t>. izvršavani su u skladu s nadležnostima koje provodi Državno izborno povjerenstvo te u skladu s planiranim aktivnostima, a prikazani su u tablici kako slijedi:</w:t>
      </w:r>
    </w:p>
    <w:tbl>
      <w:tblPr>
        <w:tblW w:w="9876" w:type="dxa"/>
        <w:tblInd w:w="-431" w:type="dxa"/>
        <w:tblLook w:val="04A0" w:firstRow="1" w:lastRow="0" w:firstColumn="1" w:lastColumn="0" w:noHBand="0" w:noVBand="1"/>
      </w:tblPr>
      <w:tblGrid>
        <w:gridCol w:w="426"/>
        <w:gridCol w:w="2127"/>
        <w:gridCol w:w="1366"/>
        <w:gridCol w:w="1401"/>
        <w:gridCol w:w="1366"/>
        <w:gridCol w:w="1366"/>
        <w:gridCol w:w="912"/>
        <w:gridCol w:w="912"/>
      </w:tblGrid>
      <w:tr w:rsidR="008E4F3C" w:rsidRPr="008E4F3C" w14:paraId="4A9E9B4D" w14:textId="77777777" w:rsidTr="00BC224D">
        <w:trPr>
          <w:trHeight w:val="592"/>
        </w:trPr>
        <w:tc>
          <w:tcPr>
            <w:tcW w:w="2553" w:type="dxa"/>
            <w:gridSpan w:val="2"/>
            <w:tcBorders>
              <w:top w:val="single" w:sz="4" w:space="0" w:color="auto"/>
              <w:left w:val="single" w:sz="4" w:space="0" w:color="auto"/>
              <w:bottom w:val="single" w:sz="4" w:space="0" w:color="auto"/>
              <w:right w:val="single" w:sz="4" w:space="0" w:color="auto"/>
            </w:tcBorders>
            <w:shd w:val="clear" w:color="000000" w:fill="DEEAF6"/>
            <w:vAlign w:val="center"/>
            <w:hideMark/>
          </w:tcPr>
          <w:p w14:paraId="21E1928A" w14:textId="77777777" w:rsidR="008E4F3C" w:rsidRPr="008E4F3C" w:rsidRDefault="008E4F3C" w:rsidP="008E4F3C">
            <w:pPr>
              <w:overflowPunct/>
              <w:autoSpaceDE/>
              <w:autoSpaceDN/>
              <w:adjustRightInd/>
              <w:spacing w:after="0"/>
              <w:jc w:val="center"/>
              <w:textAlignment w:val="auto"/>
              <w:rPr>
                <w:b/>
                <w:bCs/>
                <w:color w:val="000000"/>
                <w:sz w:val="16"/>
                <w:szCs w:val="16"/>
                <w:lang w:val="en-GB" w:eastAsia="en-GB"/>
              </w:rPr>
            </w:pPr>
            <w:r w:rsidRPr="008E4F3C">
              <w:rPr>
                <w:b/>
                <w:bCs/>
                <w:color w:val="000000"/>
                <w:sz w:val="16"/>
                <w:szCs w:val="16"/>
                <w:lang w:val="hr-HR" w:eastAsia="hr-HR"/>
              </w:rPr>
              <w:t>RASHODI</w:t>
            </w:r>
          </w:p>
        </w:tc>
        <w:tc>
          <w:tcPr>
            <w:tcW w:w="1366" w:type="dxa"/>
            <w:tcBorders>
              <w:top w:val="single" w:sz="4" w:space="0" w:color="auto"/>
              <w:left w:val="nil"/>
              <w:bottom w:val="single" w:sz="4" w:space="0" w:color="auto"/>
              <w:right w:val="single" w:sz="4" w:space="0" w:color="auto"/>
            </w:tcBorders>
            <w:shd w:val="clear" w:color="000000" w:fill="DEEAF6"/>
            <w:vAlign w:val="center"/>
            <w:hideMark/>
          </w:tcPr>
          <w:p w14:paraId="65BF6BE8" w14:textId="5E80856B" w:rsidR="008E4F3C" w:rsidRPr="008E4F3C" w:rsidRDefault="008E4F3C" w:rsidP="008E4F3C">
            <w:pPr>
              <w:overflowPunct/>
              <w:autoSpaceDE/>
              <w:autoSpaceDN/>
              <w:adjustRightInd/>
              <w:spacing w:after="0"/>
              <w:jc w:val="center"/>
              <w:textAlignment w:val="auto"/>
              <w:rPr>
                <w:b/>
                <w:bCs/>
                <w:color w:val="000000"/>
                <w:sz w:val="16"/>
                <w:szCs w:val="16"/>
                <w:lang w:val="en-GB" w:eastAsia="en-GB"/>
              </w:rPr>
            </w:pPr>
            <w:r w:rsidRPr="008E4F3C">
              <w:rPr>
                <w:b/>
                <w:bCs/>
                <w:color w:val="000000"/>
                <w:sz w:val="16"/>
                <w:szCs w:val="16"/>
                <w:lang w:val="hr-HR" w:eastAsia="hr-HR"/>
              </w:rPr>
              <w:t>OSTVARENJE / IZVRŠENJE 1.-12.202</w:t>
            </w:r>
            <w:r w:rsidR="00B45018">
              <w:rPr>
                <w:b/>
                <w:bCs/>
                <w:color w:val="000000"/>
                <w:sz w:val="16"/>
                <w:szCs w:val="16"/>
                <w:lang w:val="hr-HR" w:eastAsia="hr-HR"/>
              </w:rPr>
              <w:t>5</w:t>
            </w:r>
            <w:r w:rsidRPr="008E4F3C">
              <w:rPr>
                <w:b/>
                <w:bCs/>
                <w:color w:val="000000"/>
                <w:sz w:val="16"/>
                <w:szCs w:val="16"/>
                <w:lang w:val="hr-HR" w:eastAsia="hr-HR"/>
              </w:rPr>
              <w:t>.</w:t>
            </w:r>
          </w:p>
        </w:tc>
        <w:tc>
          <w:tcPr>
            <w:tcW w:w="1401" w:type="dxa"/>
            <w:tcBorders>
              <w:top w:val="single" w:sz="4" w:space="0" w:color="auto"/>
              <w:left w:val="nil"/>
              <w:bottom w:val="single" w:sz="4" w:space="0" w:color="auto"/>
              <w:right w:val="single" w:sz="4" w:space="0" w:color="auto"/>
            </w:tcBorders>
            <w:shd w:val="clear" w:color="000000" w:fill="DEEAF6"/>
            <w:vAlign w:val="center"/>
            <w:hideMark/>
          </w:tcPr>
          <w:p w14:paraId="7B9B90D3" w14:textId="3E029FF8" w:rsidR="008E4F3C" w:rsidRPr="008E4F3C" w:rsidRDefault="008E4F3C" w:rsidP="008E4F3C">
            <w:pPr>
              <w:overflowPunct/>
              <w:autoSpaceDE/>
              <w:autoSpaceDN/>
              <w:adjustRightInd/>
              <w:spacing w:after="0"/>
              <w:jc w:val="center"/>
              <w:textAlignment w:val="auto"/>
              <w:rPr>
                <w:b/>
                <w:bCs/>
                <w:color w:val="000000"/>
                <w:sz w:val="16"/>
                <w:szCs w:val="16"/>
                <w:lang w:val="en-GB" w:eastAsia="en-GB"/>
              </w:rPr>
            </w:pPr>
            <w:r w:rsidRPr="008E4F3C">
              <w:rPr>
                <w:b/>
                <w:bCs/>
                <w:color w:val="000000"/>
                <w:sz w:val="16"/>
                <w:szCs w:val="16"/>
                <w:lang w:val="hr-HR" w:eastAsia="hr-HR"/>
              </w:rPr>
              <w:t>IZVORNI PLAN ILI REBALANS 202</w:t>
            </w:r>
            <w:r w:rsidR="00B45018">
              <w:rPr>
                <w:b/>
                <w:bCs/>
                <w:color w:val="000000"/>
                <w:sz w:val="16"/>
                <w:szCs w:val="16"/>
                <w:lang w:val="hr-HR" w:eastAsia="hr-HR"/>
              </w:rPr>
              <w:t>5</w:t>
            </w:r>
          </w:p>
        </w:tc>
        <w:tc>
          <w:tcPr>
            <w:tcW w:w="1366" w:type="dxa"/>
            <w:tcBorders>
              <w:top w:val="single" w:sz="4" w:space="0" w:color="auto"/>
              <w:left w:val="nil"/>
              <w:bottom w:val="single" w:sz="4" w:space="0" w:color="auto"/>
              <w:right w:val="single" w:sz="4" w:space="0" w:color="auto"/>
            </w:tcBorders>
            <w:shd w:val="clear" w:color="000000" w:fill="DEEAF6"/>
            <w:vAlign w:val="center"/>
            <w:hideMark/>
          </w:tcPr>
          <w:p w14:paraId="1A0FDDEC" w14:textId="08131475" w:rsidR="008E4F3C" w:rsidRPr="008E4F3C" w:rsidRDefault="008E4F3C" w:rsidP="00B45018">
            <w:pPr>
              <w:overflowPunct/>
              <w:autoSpaceDE/>
              <w:autoSpaceDN/>
              <w:adjustRightInd/>
              <w:spacing w:after="0"/>
              <w:jc w:val="center"/>
              <w:textAlignment w:val="auto"/>
              <w:rPr>
                <w:b/>
                <w:bCs/>
                <w:color w:val="000000"/>
                <w:sz w:val="16"/>
                <w:szCs w:val="16"/>
                <w:lang w:val="en-GB" w:eastAsia="en-GB"/>
              </w:rPr>
            </w:pPr>
            <w:r w:rsidRPr="008E4F3C">
              <w:rPr>
                <w:b/>
                <w:bCs/>
                <w:color w:val="000000"/>
                <w:sz w:val="16"/>
                <w:szCs w:val="16"/>
                <w:lang w:val="hr-HR" w:eastAsia="hr-HR"/>
              </w:rPr>
              <w:t>TEKUĆI PLAN 202</w:t>
            </w:r>
            <w:r w:rsidR="00B45018">
              <w:rPr>
                <w:b/>
                <w:bCs/>
                <w:color w:val="000000"/>
                <w:sz w:val="16"/>
                <w:szCs w:val="16"/>
                <w:lang w:val="hr-HR" w:eastAsia="hr-HR"/>
              </w:rPr>
              <w:t>5</w:t>
            </w:r>
          </w:p>
        </w:tc>
        <w:tc>
          <w:tcPr>
            <w:tcW w:w="1366" w:type="dxa"/>
            <w:tcBorders>
              <w:top w:val="single" w:sz="4" w:space="0" w:color="auto"/>
              <w:left w:val="nil"/>
              <w:bottom w:val="single" w:sz="4" w:space="0" w:color="auto"/>
              <w:right w:val="single" w:sz="4" w:space="0" w:color="auto"/>
            </w:tcBorders>
            <w:shd w:val="clear" w:color="000000" w:fill="DEEAF6"/>
            <w:vAlign w:val="center"/>
            <w:hideMark/>
          </w:tcPr>
          <w:p w14:paraId="6DC17688" w14:textId="2245E1A2" w:rsidR="008E4F3C" w:rsidRPr="008E4F3C" w:rsidRDefault="008E4F3C" w:rsidP="008E4F3C">
            <w:pPr>
              <w:overflowPunct/>
              <w:autoSpaceDE/>
              <w:autoSpaceDN/>
              <w:adjustRightInd/>
              <w:spacing w:after="0"/>
              <w:jc w:val="center"/>
              <w:textAlignment w:val="auto"/>
              <w:rPr>
                <w:b/>
                <w:bCs/>
                <w:color w:val="000000"/>
                <w:sz w:val="16"/>
                <w:szCs w:val="16"/>
                <w:lang w:val="en-GB" w:eastAsia="en-GB"/>
              </w:rPr>
            </w:pPr>
            <w:r w:rsidRPr="008E4F3C">
              <w:rPr>
                <w:b/>
                <w:bCs/>
                <w:color w:val="000000"/>
                <w:sz w:val="16"/>
                <w:szCs w:val="16"/>
                <w:lang w:val="hr-HR" w:eastAsia="hr-HR"/>
              </w:rPr>
              <w:t>OSTVARENJE / IZVRŠENJE 1.-12.202</w:t>
            </w:r>
            <w:r w:rsidR="00B45018">
              <w:rPr>
                <w:b/>
                <w:bCs/>
                <w:color w:val="000000"/>
                <w:sz w:val="16"/>
                <w:szCs w:val="16"/>
                <w:lang w:val="hr-HR" w:eastAsia="hr-HR"/>
              </w:rPr>
              <w:t>5</w:t>
            </w:r>
            <w:r w:rsidRPr="008E4F3C">
              <w:rPr>
                <w:b/>
                <w:bCs/>
                <w:color w:val="000000"/>
                <w:sz w:val="16"/>
                <w:szCs w:val="16"/>
                <w:lang w:val="hr-HR" w:eastAsia="hr-HR"/>
              </w:rPr>
              <w:t>.</w:t>
            </w:r>
          </w:p>
        </w:tc>
        <w:tc>
          <w:tcPr>
            <w:tcW w:w="912" w:type="dxa"/>
            <w:tcBorders>
              <w:top w:val="single" w:sz="4" w:space="0" w:color="auto"/>
              <w:left w:val="nil"/>
              <w:bottom w:val="single" w:sz="4" w:space="0" w:color="auto"/>
              <w:right w:val="single" w:sz="4" w:space="0" w:color="auto"/>
            </w:tcBorders>
            <w:shd w:val="clear" w:color="000000" w:fill="DEEAF6"/>
            <w:vAlign w:val="center"/>
            <w:hideMark/>
          </w:tcPr>
          <w:p w14:paraId="31ED2A68" w14:textId="77777777" w:rsidR="008E4F3C" w:rsidRPr="008E4F3C" w:rsidRDefault="008E4F3C" w:rsidP="008E4F3C">
            <w:pPr>
              <w:overflowPunct/>
              <w:autoSpaceDE/>
              <w:autoSpaceDN/>
              <w:adjustRightInd/>
              <w:spacing w:after="0"/>
              <w:jc w:val="center"/>
              <w:textAlignment w:val="auto"/>
              <w:rPr>
                <w:b/>
                <w:bCs/>
                <w:color w:val="000000"/>
                <w:sz w:val="16"/>
                <w:szCs w:val="16"/>
                <w:lang w:val="en-GB" w:eastAsia="en-GB"/>
              </w:rPr>
            </w:pPr>
            <w:r w:rsidRPr="008E4F3C">
              <w:rPr>
                <w:b/>
                <w:bCs/>
                <w:color w:val="000000"/>
                <w:sz w:val="16"/>
                <w:szCs w:val="16"/>
                <w:lang w:val="hr-HR" w:eastAsia="hr-HR"/>
              </w:rPr>
              <w:t>INDEKS</w:t>
            </w:r>
          </w:p>
        </w:tc>
        <w:tc>
          <w:tcPr>
            <w:tcW w:w="912" w:type="dxa"/>
            <w:tcBorders>
              <w:top w:val="single" w:sz="4" w:space="0" w:color="auto"/>
              <w:left w:val="nil"/>
              <w:bottom w:val="single" w:sz="4" w:space="0" w:color="auto"/>
              <w:right w:val="single" w:sz="4" w:space="0" w:color="auto"/>
            </w:tcBorders>
            <w:shd w:val="clear" w:color="000000" w:fill="DEEAF6"/>
            <w:vAlign w:val="center"/>
            <w:hideMark/>
          </w:tcPr>
          <w:p w14:paraId="728099F1" w14:textId="77777777" w:rsidR="008E4F3C" w:rsidRPr="008E4F3C" w:rsidRDefault="008E4F3C" w:rsidP="008E4F3C">
            <w:pPr>
              <w:overflowPunct/>
              <w:autoSpaceDE/>
              <w:autoSpaceDN/>
              <w:adjustRightInd/>
              <w:spacing w:after="0"/>
              <w:jc w:val="center"/>
              <w:textAlignment w:val="auto"/>
              <w:rPr>
                <w:b/>
                <w:bCs/>
                <w:color w:val="000000"/>
                <w:sz w:val="16"/>
                <w:szCs w:val="16"/>
                <w:lang w:val="en-GB" w:eastAsia="en-GB"/>
              </w:rPr>
            </w:pPr>
            <w:r w:rsidRPr="008E4F3C">
              <w:rPr>
                <w:b/>
                <w:bCs/>
                <w:color w:val="000000"/>
                <w:sz w:val="16"/>
                <w:szCs w:val="16"/>
                <w:lang w:val="hr-HR" w:eastAsia="hr-HR"/>
              </w:rPr>
              <w:t>INDEKS</w:t>
            </w:r>
          </w:p>
        </w:tc>
      </w:tr>
      <w:tr w:rsidR="008E4F3C" w:rsidRPr="008E4F3C" w14:paraId="134F6AEF" w14:textId="77777777" w:rsidTr="00BC224D">
        <w:trPr>
          <w:trHeight w:hRule="exact" w:val="255"/>
        </w:trPr>
        <w:tc>
          <w:tcPr>
            <w:tcW w:w="2553" w:type="dxa"/>
            <w:gridSpan w:val="2"/>
            <w:tcBorders>
              <w:top w:val="single" w:sz="4" w:space="0" w:color="auto"/>
              <w:left w:val="single" w:sz="4" w:space="0" w:color="auto"/>
              <w:bottom w:val="single" w:sz="4" w:space="0" w:color="auto"/>
              <w:right w:val="single" w:sz="4" w:space="0" w:color="auto"/>
            </w:tcBorders>
            <w:shd w:val="clear" w:color="000000" w:fill="DEEAF6"/>
            <w:vAlign w:val="center"/>
            <w:hideMark/>
          </w:tcPr>
          <w:p w14:paraId="41B8B06A" w14:textId="77777777" w:rsidR="008E4F3C" w:rsidRPr="008E4F3C" w:rsidRDefault="008E4F3C" w:rsidP="008E4F3C">
            <w:pPr>
              <w:overflowPunct/>
              <w:autoSpaceDE/>
              <w:autoSpaceDN/>
              <w:adjustRightInd/>
              <w:spacing w:after="0"/>
              <w:jc w:val="center"/>
              <w:textAlignment w:val="auto"/>
              <w:rPr>
                <w:b/>
                <w:bCs/>
                <w:color w:val="000000"/>
                <w:sz w:val="16"/>
                <w:szCs w:val="16"/>
                <w:lang w:val="en-GB" w:eastAsia="en-GB"/>
              </w:rPr>
            </w:pPr>
            <w:r w:rsidRPr="008E4F3C">
              <w:rPr>
                <w:b/>
                <w:bCs/>
                <w:color w:val="000000"/>
                <w:sz w:val="16"/>
                <w:szCs w:val="16"/>
                <w:lang w:val="hr-HR" w:eastAsia="hr-HR"/>
              </w:rPr>
              <w:t>1</w:t>
            </w:r>
          </w:p>
        </w:tc>
        <w:tc>
          <w:tcPr>
            <w:tcW w:w="1366" w:type="dxa"/>
            <w:tcBorders>
              <w:top w:val="nil"/>
              <w:left w:val="nil"/>
              <w:bottom w:val="single" w:sz="4" w:space="0" w:color="auto"/>
              <w:right w:val="single" w:sz="4" w:space="0" w:color="auto"/>
            </w:tcBorders>
            <w:shd w:val="clear" w:color="000000" w:fill="DEEAF6"/>
            <w:vAlign w:val="center"/>
            <w:hideMark/>
          </w:tcPr>
          <w:p w14:paraId="6554AB5F" w14:textId="77777777" w:rsidR="008E4F3C" w:rsidRPr="008E4F3C" w:rsidRDefault="008E4F3C" w:rsidP="008E4F3C">
            <w:pPr>
              <w:overflowPunct/>
              <w:autoSpaceDE/>
              <w:autoSpaceDN/>
              <w:adjustRightInd/>
              <w:spacing w:after="0"/>
              <w:jc w:val="center"/>
              <w:textAlignment w:val="auto"/>
              <w:rPr>
                <w:b/>
                <w:bCs/>
                <w:color w:val="000000"/>
                <w:sz w:val="16"/>
                <w:szCs w:val="16"/>
                <w:lang w:val="en-GB" w:eastAsia="en-GB"/>
              </w:rPr>
            </w:pPr>
            <w:r w:rsidRPr="008E4F3C">
              <w:rPr>
                <w:b/>
                <w:bCs/>
                <w:color w:val="000000"/>
                <w:sz w:val="16"/>
                <w:szCs w:val="16"/>
                <w:lang w:val="hr-HR" w:eastAsia="hr-HR"/>
              </w:rPr>
              <w:t>2</w:t>
            </w:r>
          </w:p>
        </w:tc>
        <w:tc>
          <w:tcPr>
            <w:tcW w:w="1401" w:type="dxa"/>
            <w:tcBorders>
              <w:top w:val="nil"/>
              <w:left w:val="nil"/>
              <w:bottom w:val="single" w:sz="4" w:space="0" w:color="auto"/>
              <w:right w:val="single" w:sz="4" w:space="0" w:color="auto"/>
            </w:tcBorders>
            <w:shd w:val="clear" w:color="000000" w:fill="DEEAF6"/>
            <w:vAlign w:val="center"/>
            <w:hideMark/>
          </w:tcPr>
          <w:p w14:paraId="7C3F45AF" w14:textId="77777777" w:rsidR="008E4F3C" w:rsidRPr="008E4F3C" w:rsidRDefault="008E4F3C" w:rsidP="008E4F3C">
            <w:pPr>
              <w:overflowPunct/>
              <w:autoSpaceDE/>
              <w:autoSpaceDN/>
              <w:adjustRightInd/>
              <w:spacing w:after="0"/>
              <w:jc w:val="center"/>
              <w:textAlignment w:val="auto"/>
              <w:rPr>
                <w:b/>
                <w:bCs/>
                <w:color w:val="000000"/>
                <w:sz w:val="16"/>
                <w:szCs w:val="16"/>
                <w:lang w:val="en-GB" w:eastAsia="en-GB"/>
              </w:rPr>
            </w:pPr>
            <w:r w:rsidRPr="008E4F3C">
              <w:rPr>
                <w:b/>
                <w:bCs/>
                <w:color w:val="000000"/>
                <w:sz w:val="16"/>
                <w:szCs w:val="16"/>
                <w:lang w:val="hr-HR" w:eastAsia="hr-HR"/>
              </w:rPr>
              <w:t>3</w:t>
            </w:r>
          </w:p>
        </w:tc>
        <w:tc>
          <w:tcPr>
            <w:tcW w:w="1366" w:type="dxa"/>
            <w:tcBorders>
              <w:top w:val="nil"/>
              <w:left w:val="nil"/>
              <w:bottom w:val="single" w:sz="4" w:space="0" w:color="auto"/>
              <w:right w:val="single" w:sz="4" w:space="0" w:color="auto"/>
            </w:tcBorders>
            <w:shd w:val="clear" w:color="000000" w:fill="DEEAF6"/>
            <w:vAlign w:val="center"/>
            <w:hideMark/>
          </w:tcPr>
          <w:p w14:paraId="2261332D" w14:textId="77777777" w:rsidR="008E4F3C" w:rsidRPr="008E4F3C" w:rsidRDefault="008E4F3C" w:rsidP="008E4F3C">
            <w:pPr>
              <w:overflowPunct/>
              <w:autoSpaceDE/>
              <w:autoSpaceDN/>
              <w:adjustRightInd/>
              <w:spacing w:after="0"/>
              <w:jc w:val="center"/>
              <w:textAlignment w:val="auto"/>
              <w:rPr>
                <w:b/>
                <w:bCs/>
                <w:color w:val="000000"/>
                <w:sz w:val="16"/>
                <w:szCs w:val="16"/>
                <w:lang w:val="en-GB" w:eastAsia="en-GB"/>
              </w:rPr>
            </w:pPr>
            <w:r w:rsidRPr="008E4F3C">
              <w:rPr>
                <w:b/>
                <w:bCs/>
                <w:color w:val="000000"/>
                <w:sz w:val="16"/>
                <w:szCs w:val="16"/>
                <w:lang w:val="hr-HR" w:eastAsia="hr-HR"/>
              </w:rPr>
              <w:t>4</w:t>
            </w:r>
          </w:p>
        </w:tc>
        <w:tc>
          <w:tcPr>
            <w:tcW w:w="1366" w:type="dxa"/>
            <w:tcBorders>
              <w:top w:val="nil"/>
              <w:left w:val="nil"/>
              <w:bottom w:val="single" w:sz="4" w:space="0" w:color="auto"/>
              <w:right w:val="single" w:sz="4" w:space="0" w:color="auto"/>
            </w:tcBorders>
            <w:shd w:val="clear" w:color="000000" w:fill="DEEAF6"/>
            <w:vAlign w:val="center"/>
            <w:hideMark/>
          </w:tcPr>
          <w:p w14:paraId="05F50EB5" w14:textId="77777777" w:rsidR="008E4F3C" w:rsidRPr="008E4F3C" w:rsidRDefault="008E4F3C" w:rsidP="008E4F3C">
            <w:pPr>
              <w:overflowPunct/>
              <w:autoSpaceDE/>
              <w:autoSpaceDN/>
              <w:adjustRightInd/>
              <w:spacing w:after="0"/>
              <w:jc w:val="center"/>
              <w:textAlignment w:val="auto"/>
              <w:rPr>
                <w:b/>
                <w:bCs/>
                <w:color w:val="000000"/>
                <w:sz w:val="16"/>
                <w:szCs w:val="16"/>
                <w:lang w:val="en-GB" w:eastAsia="en-GB"/>
              </w:rPr>
            </w:pPr>
            <w:r w:rsidRPr="008E4F3C">
              <w:rPr>
                <w:b/>
                <w:bCs/>
                <w:color w:val="000000"/>
                <w:sz w:val="16"/>
                <w:szCs w:val="16"/>
                <w:lang w:val="hr-HR" w:eastAsia="hr-HR"/>
              </w:rPr>
              <w:t>5</w:t>
            </w:r>
          </w:p>
        </w:tc>
        <w:tc>
          <w:tcPr>
            <w:tcW w:w="912" w:type="dxa"/>
            <w:tcBorders>
              <w:top w:val="nil"/>
              <w:left w:val="nil"/>
              <w:bottom w:val="single" w:sz="4" w:space="0" w:color="auto"/>
              <w:right w:val="single" w:sz="4" w:space="0" w:color="auto"/>
            </w:tcBorders>
            <w:shd w:val="clear" w:color="000000" w:fill="DEEAF6"/>
            <w:vAlign w:val="center"/>
            <w:hideMark/>
          </w:tcPr>
          <w:p w14:paraId="2541E290" w14:textId="77777777" w:rsidR="008E4F3C" w:rsidRPr="008E4F3C" w:rsidRDefault="008E4F3C" w:rsidP="008E4F3C">
            <w:pPr>
              <w:overflowPunct/>
              <w:autoSpaceDE/>
              <w:autoSpaceDN/>
              <w:adjustRightInd/>
              <w:spacing w:after="0"/>
              <w:jc w:val="center"/>
              <w:textAlignment w:val="auto"/>
              <w:rPr>
                <w:b/>
                <w:bCs/>
                <w:color w:val="000000"/>
                <w:sz w:val="16"/>
                <w:szCs w:val="16"/>
                <w:lang w:val="en-GB" w:eastAsia="en-GB"/>
              </w:rPr>
            </w:pPr>
            <w:r w:rsidRPr="008E4F3C">
              <w:rPr>
                <w:b/>
                <w:bCs/>
                <w:color w:val="000000"/>
                <w:sz w:val="16"/>
                <w:szCs w:val="16"/>
                <w:lang w:val="hr-HR" w:eastAsia="hr-HR"/>
              </w:rPr>
              <w:t>6=5/2*100</w:t>
            </w:r>
          </w:p>
        </w:tc>
        <w:tc>
          <w:tcPr>
            <w:tcW w:w="912" w:type="dxa"/>
            <w:tcBorders>
              <w:top w:val="nil"/>
              <w:left w:val="nil"/>
              <w:bottom w:val="single" w:sz="4" w:space="0" w:color="auto"/>
              <w:right w:val="single" w:sz="4" w:space="0" w:color="auto"/>
            </w:tcBorders>
            <w:shd w:val="clear" w:color="000000" w:fill="DEEAF6"/>
            <w:vAlign w:val="center"/>
            <w:hideMark/>
          </w:tcPr>
          <w:p w14:paraId="6B9D799D" w14:textId="77777777" w:rsidR="008E4F3C" w:rsidRPr="008E4F3C" w:rsidRDefault="008E4F3C" w:rsidP="008E4F3C">
            <w:pPr>
              <w:overflowPunct/>
              <w:autoSpaceDE/>
              <w:autoSpaceDN/>
              <w:adjustRightInd/>
              <w:spacing w:after="0"/>
              <w:jc w:val="center"/>
              <w:textAlignment w:val="auto"/>
              <w:rPr>
                <w:b/>
                <w:bCs/>
                <w:color w:val="000000"/>
                <w:sz w:val="16"/>
                <w:szCs w:val="16"/>
                <w:lang w:val="en-GB" w:eastAsia="en-GB"/>
              </w:rPr>
            </w:pPr>
            <w:r w:rsidRPr="008E4F3C">
              <w:rPr>
                <w:b/>
                <w:bCs/>
                <w:color w:val="000000"/>
                <w:sz w:val="16"/>
                <w:szCs w:val="16"/>
                <w:lang w:val="hr-HR" w:eastAsia="hr-HR"/>
              </w:rPr>
              <w:t>7=5/4*100</w:t>
            </w:r>
          </w:p>
        </w:tc>
      </w:tr>
      <w:tr w:rsidR="00630F4C" w:rsidRPr="008E4F3C" w14:paraId="0BBBB4A5" w14:textId="77777777" w:rsidTr="00BC224D">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68C5FFB4" w14:textId="77777777" w:rsidR="00630F4C" w:rsidRPr="00630F4C" w:rsidRDefault="00630F4C" w:rsidP="00630F4C">
            <w:pPr>
              <w:overflowPunct/>
              <w:autoSpaceDE/>
              <w:autoSpaceDN/>
              <w:adjustRightInd/>
              <w:spacing w:after="0"/>
              <w:jc w:val="center"/>
              <w:textAlignment w:val="auto"/>
              <w:rPr>
                <w:sz w:val="18"/>
                <w:szCs w:val="18"/>
                <w:lang w:val="en-GB" w:eastAsia="en-GB"/>
              </w:rPr>
            </w:pPr>
            <w:r w:rsidRPr="00630F4C">
              <w:rPr>
                <w:sz w:val="18"/>
                <w:szCs w:val="18"/>
                <w:lang w:val="en-GB" w:eastAsia="en-GB"/>
              </w:rPr>
              <w:t> </w:t>
            </w:r>
          </w:p>
        </w:tc>
        <w:tc>
          <w:tcPr>
            <w:tcW w:w="2127" w:type="dxa"/>
            <w:tcBorders>
              <w:top w:val="nil"/>
              <w:left w:val="nil"/>
              <w:bottom w:val="single" w:sz="4" w:space="0" w:color="auto"/>
              <w:right w:val="single" w:sz="4" w:space="0" w:color="auto"/>
            </w:tcBorders>
            <w:shd w:val="clear" w:color="auto" w:fill="auto"/>
            <w:hideMark/>
          </w:tcPr>
          <w:p w14:paraId="0EEF9507" w14:textId="21D1B55E" w:rsidR="00630F4C" w:rsidRPr="00630F4C" w:rsidRDefault="00630F4C" w:rsidP="00630F4C">
            <w:pPr>
              <w:overflowPunct/>
              <w:autoSpaceDE/>
              <w:autoSpaceDN/>
              <w:adjustRightInd/>
              <w:spacing w:after="0"/>
              <w:jc w:val="left"/>
              <w:textAlignment w:val="auto"/>
              <w:rPr>
                <w:b/>
                <w:bCs/>
                <w:sz w:val="18"/>
                <w:szCs w:val="18"/>
                <w:lang w:val="en-GB" w:eastAsia="en-GB"/>
              </w:rPr>
            </w:pPr>
            <w:r w:rsidRPr="00630F4C">
              <w:rPr>
                <w:b/>
                <w:bCs/>
                <w:sz w:val="18"/>
                <w:szCs w:val="18"/>
              </w:rPr>
              <w:t>UKUPNI RASHODI</w:t>
            </w:r>
          </w:p>
        </w:tc>
        <w:tc>
          <w:tcPr>
            <w:tcW w:w="1366" w:type="dxa"/>
            <w:tcBorders>
              <w:top w:val="nil"/>
              <w:left w:val="nil"/>
              <w:bottom w:val="single" w:sz="4" w:space="0" w:color="auto"/>
              <w:right w:val="single" w:sz="4" w:space="0" w:color="auto"/>
            </w:tcBorders>
            <w:shd w:val="clear" w:color="auto" w:fill="auto"/>
            <w:noWrap/>
            <w:vAlign w:val="center"/>
            <w:hideMark/>
          </w:tcPr>
          <w:p w14:paraId="1834F1F5" w14:textId="3E62171D" w:rsidR="00630F4C" w:rsidRPr="00BC224D" w:rsidRDefault="00DF0199" w:rsidP="00630F4C">
            <w:pPr>
              <w:overflowPunct/>
              <w:autoSpaceDE/>
              <w:autoSpaceDN/>
              <w:adjustRightInd/>
              <w:spacing w:after="0"/>
              <w:jc w:val="right"/>
              <w:textAlignment w:val="auto"/>
              <w:rPr>
                <w:b/>
                <w:bCs/>
                <w:color w:val="000000"/>
                <w:sz w:val="20"/>
                <w:lang w:val="en-GB" w:eastAsia="en-GB"/>
              </w:rPr>
            </w:pPr>
            <w:r w:rsidRPr="00BC224D">
              <w:rPr>
                <w:b/>
                <w:bCs/>
                <w:sz w:val="20"/>
              </w:rPr>
              <w:t>31.147.482,79</w:t>
            </w:r>
          </w:p>
        </w:tc>
        <w:tc>
          <w:tcPr>
            <w:tcW w:w="1401" w:type="dxa"/>
            <w:tcBorders>
              <w:top w:val="nil"/>
              <w:left w:val="nil"/>
              <w:bottom w:val="single" w:sz="4" w:space="0" w:color="auto"/>
              <w:right w:val="single" w:sz="4" w:space="0" w:color="auto"/>
            </w:tcBorders>
            <w:shd w:val="clear" w:color="auto" w:fill="auto"/>
            <w:noWrap/>
            <w:vAlign w:val="center"/>
            <w:hideMark/>
          </w:tcPr>
          <w:p w14:paraId="4232F143" w14:textId="5F74E210" w:rsidR="00630F4C" w:rsidRPr="00630F4C" w:rsidRDefault="00B45018" w:rsidP="00630F4C">
            <w:pPr>
              <w:overflowPunct/>
              <w:autoSpaceDE/>
              <w:autoSpaceDN/>
              <w:adjustRightInd/>
              <w:spacing w:after="0"/>
              <w:jc w:val="right"/>
              <w:textAlignment w:val="auto"/>
              <w:rPr>
                <w:b/>
                <w:bCs/>
                <w:color w:val="000000"/>
                <w:sz w:val="20"/>
                <w:lang w:val="en-GB" w:eastAsia="en-GB"/>
              </w:rPr>
            </w:pPr>
            <w:r>
              <w:rPr>
                <w:b/>
                <w:bCs/>
                <w:sz w:val="20"/>
              </w:rPr>
              <w:t>14.817.384</w:t>
            </w:r>
          </w:p>
        </w:tc>
        <w:tc>
          <w:tcPr>
            <w:tcW w:w="1366" w:type="dxa"/>
            <w:tcBorders>
              <w:top w:val="nil"/>
              <w:left w:val="nil"/>
              <w:bottom w:val="single" w:sz="4" w:space="0" w:color="auto"/>
              <w:right w:val="single" w:sz="4" w:space="0" w:color="auto"/>
            </w:tcBorders>
            <w:shd w:val="clear" w:color="auto" w:fill="auto"/>
            <w:noWrap/>
            <w:vAlign w:val="center"/>
            <w:hideMark/>
          </w:tcPr>
          <w:p w14:paraId="375E6617" w14:textId="1808C16A" w:rsidR="00630F4C" w:rsidRPr="00630F4C" w:rsidRDefault="00B45018" w:rsidP="00630F4C">
            <w:pPr>
              <w:overflowPunct/>
              <w:autoSpaceDE/>
              <w:autoSpaceDN/>
              <w:adjustRightInd/>
              <w:spacing w:after="0"/>
              <w:jc w:val="right"/>
              <w:textAlignment w:val="auto"/>
              <w:rPr>
                <w:b/>
                <w:bCs/>
                <w:color w:val="000000"/>
                <w:sz w:val="20"/>
                <w:lang w:val="en-GB" w:eastAsia="en-GB"/>
              </w:rPr>
            </w:pPr>
            <w:r>
              <w:rPr>
                <w:b/>
                <w:bCs/>
                <w:sz w:val="20"/>
              </w:rPr>
              <w:t>14.817.384</w:t>
            </w:r>
          </w:p>
        </w:tc>
        <w:tc>
          <w:tcPr>
            <w:tcW w:w="1366" w:type="dxa"/>
            <w:tcBorders>
              <w:top w:val="nil"/>
              <w:left w:val="nil"/>
              <w:bottom w:val="single" w:sz="4" w:space="0" w:color="auto"/>
              <w:right w:val="single" w:sz="4" w:space="0" w:color="auto"/>
            </w:tcBorders>
            <w:shd w:val="clear" w:color="auto" w:fill="auto"/>
            <w:noWrap/>
            <w:vAlign w:val="center"/>
            <w:hideMark/>
          </w:tcPr>
          <w:p w14:paraId="3B7F5686" w14:textId="301C899C" w:rsidR="00630F4C" w:rsidRPr="00630F4C" w:rsidRDefault="00DF0199" w:rsidP="00630F4C">
            <w:pPr>
              <w:overflowPunct/>
              <w:autoSpaceDE/>
              <w:autoSpaceDN/>
              <w:adjustRightInd/>
              <w:spacing w:after="0"/>
              <w:jc w:val="right"/>
              <w:textAlignment w:val="auto"/>
              <w:rPr>
                <w:b/>
                <w:bCs/>
                <w:color w:val="000000"/>
                <w:sz w:val="20"/>
                <w:lang w:val="en-GB" w:eastAsia="en-GB"/>
              </w:rPr>
            </w:pPr>
            <w:r>
              <w:rPr>
                <w:b/>
                <w:bCs/>
                <w:sz w:val="20"/>
              </w:rPr>
              <w:t>13.578.987,86</w:t>
            </w:r>
          </w:p>
        </w:tc>
        <w:tc>
          <w:tcPr>
            <w:tcW w:w="912" w:type="dxa"/>
            <w:tcBorders>
              <w:top w:val="nil"/>
              <w:left w:val="nil"/>
              <w:bottom w:val="single" w:sz="4" w:space="0" w:color="auto"/>
              <w:right w:val="single" w:sz="4" w:space="0" w:color="auto"/>
            </w:tcBorders>
            <w:shd w:val="clear" w:color="auto" w:fill="auto"/>
            <w:noWrap/>
            <w:vAlign w:val="center"/>
            <w:hideMark/>
          </w:tcPr>
          <w:p w14:paraId="1F27282D" w14:textId="0A75A217" w:rsidR="00630F4C" w:rsidRPr="00630F4C" w:rsidRDefault="00B45018" w:rsidP="00630F4C">
            <w:pPr>
              <w:overflowPunct/>
              <w:autoSpaceDE/>
              <w:autoSpaceDN/>
              <w:adjustRightInd/>
              <w:spacing w:after="0"/>
              <w:jc w:val="right"/>
              <w:textAlignment w:val="auto"/>
              <w:rPr>
                <w:b/>
                <w:bCs/>
                <w:color w:val="000000"/>
                <w:sz w:val="20"/>
                <w:lang w:val="en-GB" w:eastAsia="en-GB"/>
              </w:rPr>
            </w:pPr>
            <w:r>
              <w:rPr>
                <w:b/>
                <w:bCs/>
                <w:sz w:val="20"/>
              </w:rPr>
              <w:t>43,60</w:t>
            </w:r>
          </w:p>
        </w:tc>
        <w:tc>
          <w:tcPr>
            <w:tcW w:w="912" w:type="dxa"/>
            <w:tcBorders>
              <w:top w:val="nil"/>
              <w:left w:val="nil"/>
              <w:bottom w:val="single" w:sz="4" w:space="0" w:color="auto"/>
              <w:right w:val="single" w:sz="4" w:space="0" w:color="auto"/>
            </w:tcBorders>
            <w:shd w:val="clear" w:color="auto" w:fill="auto"/>
            <w:noWrap/>
            <w:vAlign w:val="center"/>
            <w:hideMark/>
          </w:tcPr>
          <w:p w14:paraId="3C3D037D" w14:textId="7D959EA9" w:rsidR="00630F4C" w:rsidRPr="00630F4C" w:rsidRDefault="00B45018" w:rsidP="00630F4C">
            <w:pPr>
              <w:overflowPunct/>
              <w:autoSpaceDE/>
              <w:autoSpaceDN/>
              <w:adjustRightInd/>
              <w:spacing w:after="0"/>
              <w:jc w:val="right"/>
              <w:textAlignment w:val="auto"/>
              <w:rPr>
                <w:b/>
                <w:bCs/>
                <w:color w:val="000000"/>
                <w:sz w:val="20"/>
                <w:lang w:val="en-GB" w:eastAsia="en-GB"/>
              </w:rPr>
            </w:pPr>
            <w:r>
              <w:rPr>
                <w:b/>
                <w:bCs/>
                <w:sz w:val="20"/>
              </w:rPr>
              <w:t>91,64</w:t>
            </w:r>
          </w:p>
        </w:tc>
      </w:tr>
      <w:tr w:rsidR="00630F4C" w:rsidRPr="008E4F3C" w14:paraId="5DF0E53F" w14:textId="77777777" w:rsidTr="00BC224D">
        <w:trPr>
          <w:trHeight w:val="300"/>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3B0DD670" w14:textId="4AD78A5E" w:rsidR="00630F4C" w:rsidRPr="00630F4C" w:rsidRDefault="00630F4C" w:rsidP="00630F4C">
            <w:pPr>
              <w:overflowPunct/>
              <w:autoSpaceDE/>
              <w:autoSpaceDN/>
              <w:adjustRightInd/>
              <w:spacing w:after="0"/>
              <w:jc w:val="left"/>
              <w:textAlignment w:val="auto"/>
              <w:rPr>
                <w:b/>
                <w:bCs/>
                <w:sz w:val="18"/>
                <w:szCs w:val="18"/>
                <w:lang w:val="en-GB" w:eastAsia="en-GB"/>
              </w:rPr>
            </w:pPr>
            <w:r w:rsidRPr="00630F4C">
              <w:rPr>
                <w:b/>
                <w:bCs/>
                <w:sz w:val="18"/>
                <w:szCs w:val="18"/>
              </w:rPr>
              <w:t>3</w:t>
            </w:r>
          </w:p>
        </w:tc>
        <w:tc>
          <w:tcPr>
            <w:tcW w:w="2127" w:type="dxa"/>
            <w:tcBorders>
              <w:top w:val="nil"/>
              <w:left w:val="nil"/>
              <w:bottom w:val="single" w:sz="4" w:space="0" w:color="auto"/>
              <w:right w:val="single" w:sz="4" w:space="0" w:color="auto"/>
            </w:tcBorders>
            <w:shd w:val="clear" w:color="auto" w:fill="auto"/>
            <w:vAlign w:val="center"/>
            <w:hideMark/>
          </w:tcPr>
          <w:p w14:paraId="1CE85EE1" w14:textId="5BA44F46" w:rsidR="00630F4C" w:rsidRPr="00630F4C" w:rsidRDefault="00630F4C" w:rsidP="00630F4C">
            <w:pPr>
              <w:overflowPunct/>
              <w:autoSpaceDE/>
              <w:autoSpaceDN/>
              <w:adjustRightInd/>
              <w:spacing w:after="0"/>
              <w:jc w:val="left"/>
              <w:textAlignment w:val="auto"/>
              <w:rPr>
                <w:b/>
                <w:bCs/>
                <w:sz w:val="18"/>
                <w:szCs w:val="18"/>
                <w:lang w:val="en-GB" w:eastAsia="en-GB"/>
              </w:rPr>
            </w:pPr>
            <w:r w:rsidRPr="00630F4C">
              <w:rPr>
                <w:b/>
                <w:bCs/>
                <w:sz w:val="18"/>
                <w:szCs w:val="18"/>
              </w:rPr>
              <w:t>Rashodi poslovanja</w:t>
            </w:r>
          </w:p>
        </w:tc>
        <w:tc>
          <w:tcPr>
            <w:tcW w:w="1366" w:type="dxa"/>
            <w:tcBorders>
              <w:top w:val="nil"/>
              <w:left w:val="nil"/>
              <w:bottom w:val="single" w:sz="4" w:space="0" w:color="auto"/>
              <w:right w:val="single" w:sz="4" w:space="0" w:color="auto"/>
            </w:tcBorders>
            <w:shd w:val="clear" w:color="auto" w:fill="auto"/>
            <w:noWrap/>
            <w:vAlign w:val="center"/>
            <w:hideMark/>
          </w:tcPr>
          <w:p w14:paraId="198CAF90" w14:textId="523DABD1" w:rsidR="00630F4C" w:rsidRPr="00BC224D" w:rsidRDefault="00DF0199" w:rsidP="00630F4C">
            <w:pPr>
              <w:overflowPunct/>
              <w:autoSpaceDE/>
              <w:autoSpaceDN/>
              <w:adjustRightInd/>
              <w:spacing w:after="0"/>
              <w:jc w:val="right"/>
              <w:textAlignment w:val="auto"/>
              <w:rPr>
                <w:b/>
                <w:bCs/>
                <w:color w:val="000000"/>
                <w:sz w:val="20"/>
                <w:lang w:val="en-GB" w:eastAsia="en-GB"/>
              </w:rPr>
            </w:pPr>
            <w:r w:rsidRPr="00BC224D">
              <w:rPr>
                <w:b/>
                <w:bCs/>
                <w:color w:val="000000"/>
                <w:sz w:val="20"/>
              </w:rPr>
              <w:t>31.116.688,86</w:t>
            </w:r>
          </w:p>
        </w:tc>
        <w:tc>
          <w:tcPr>
            <w:tcW w:w="1401" w:type="dxa"/>
            <w:tcBorders>
              <w:top w:val="nil"/>
              <w:left w:val="nil"/>
              <w:bottom w:val="single" w:sz="4" w:space="0" w:color="auto"/>
              <w:right w:val="single" w:sz="4" w:space="0" w:color="auto"/>
            </w:tcBorders>
            <w:shd w:val="clear" w:color="auto" w:fill="auto"/>
            <w:noWrap/>
            <w:vAlign w:val="center"/>
            <w:hideMark/>
          </w:tcPr>
          <w:p w14:paraId="4537E846" w14:textId="4795FB09" w:rsidR="00630F4C" w:rsidRPr="00630F4C" w:rsidRDefault="00B45018" w:rsidP="00630F4C">
            <w:pPr>
              <w:overflowPunct/>
              <w:autoSpaceDE/>
              <w:autoSpaceDN/>
              <w:adjustRightInd/>
              <w:spacing w:after="0"/>
              <w:jc w:val="right"/>
              <w:textAlignment w:val="auto"/>
              <w:rPr>
                <w:b/>
                <w:bCs/>
                <w:color w:val="000000"/>
                <w:sz w:val="20"/>
                <w:lang w:val="en-GB" w:eastAsia="en-GB"/>
              </w:rPr>
            </w:pPr>
            <w:r>
              <w:rPr>
                <w:b/>
                <w:bCs/>
                <w:color w:val="000000"/>
                <w:sz w:val="20"/>
              </w:rPr>
              <w:t>14.706.734</w:t>
            </w:r>
          </w:p>
        </w:tc>
        <w:tc>
          <w:tcPr>
            <w:tcW w:w="1366" w:type="dxa"/>
            <w:tcBorders>
              <w:top w:val="nil"/>
              <w:left w:val="nil"/>
              <w:bottom w:val="single" w:sz="4" w:space="0" w:color="auto"/>
              <w:right w:val="single" w:sz="4" w:space="0" w:color="auto"/>
            </w:tcBorders>
            <w:shd w:val="clear" w:color="auto" w:fill="auto"/>
            <w:noWrap/>
            <w:vAlign w:val="center"/>
            <w:hideMark/>
          </w:tcPr>
          <w:p w14:paraId="0CD6B1C8" w14:textId="1BAC4335" w:rsidR="00630F4C" w:rsidRPr="00630F4C" w:rsidRDefault="00B45018" w:rsidP="00630F4C">
            <w:pPr>
              <w:overflowPunct/>
              <w:autoSpaceDE/>
              <w:autoSpaceDN/>
              <w:adjustRightInd/>
              <w:spacing w:after="0"/>
              <w:jc w:val="right"/>
              <w:textAlignment w:val="auto"/>
              <w:rPr>
                <w:b/>
                <w:bCs/>
                <w:color w:val="000000"/>
                <w:sz w:val="20"/>
                <w:lang w:val="en-GB" w:eastAsia="en-GB"/>
              </w:rPr>
            </w:pPr>
            <w:r>
              <w:rPr>
                <w:b/>
                <w:bCs/>
                <w:color w:val="000000"/>
                <w:sz w:val="20"/>
              </w:rPr>
              <w:t>14.706.734</w:t>
            </w:r>
          </w:p>
        </w:tc>
        <w:tc>
          <w:tcPr>
            <w:tcW w:w="1366" w:type="dxa"/>
            <w:tcBorders>
              <w:top w:val="nil"/>
              <w:left w:val="nil"/>
              <w:bottom w:val="single" w:sz="4" w:space="0" w:color="auto"/>
              <w:right w:val="single" w:sz="4" w:space="0" w:color="auto"/>
            </w:tcBorders>
            <w:shd w:val="clear" w:color="auto" w:fill="auto"/>
            <w:noWrap/>
            <w:vAlign w:val="center"/>
            <w:hideMark/>
          </w:tcPr>
          <w:p w14:paraId="236EEBCC" w14:textId="79A6A8DC" w:rsidR="00630F4C" w:rsidRPr="00630F4C" w:rsidRDefault="00DF0199" w:rsidP="00630F4C">
            <w:pPr>
              <w:overflowPunct/>
              <w:autoSpaceDE/>
              <w:autoSpaceDN/>
              <w:adjustRightInd/>
              <w:spacing w:after="0"/>
              <w:jc w:val="right"/>
              <w:textAlignment w:val="auto"/>
              <w:rPr>
                <w:b/>
                <w:bCs/>
                <w:color w:val="000000"/>
                <w:sz w:val="20"/>
                <w:lang w:val="en-GB" w:eastAsia="en-GB"/>
              </w:rPr>
            </w:pPr>
            <w:r>
              <w:rPr>
                <w:b/>
                <w:bCs/>
                <w:color w:val="000000"/>
                <w:sz w:val="20"/>
              </w:rPr>
              <w:t>13.507.990,51</w:t>
            </w:r>
          </w:p>
        </w:tc>
        <w:tc>
          <w:tcPr>
            <w:tcW w:w="912" w:type="dxa"/>
            <w:tcBorders>
              <w:top w:val="nil"/>
              <w:left w:val="nil"/>
              <w:bottom w:val="single" w:sz="4" w:space="0" w:color="auto"/>
              <w:right w:val="single" w:sz="4" w:space="0" w:color="auto"/>
            </w:tcBorders>
            <w:shd w:val="clear" w:color="auto" w:fill="auto"/>
            <w:noWrap/>
            <w:vAlign w:val="center"/>
            <w:hideMark/>
          </w:tcPr>
          <w:p w14:paraId="7158B60A" w14:textId="5AE2F300" w:rsidR="00630F4C" w:rsidRPr="00630F4C" w:rsidRDefault="00BC224D" w:rsidP="00630F4C">
            <w:pPr>
              <w:overflowPunct/>
              <w:autoSpaceDE/>
              <w:autoSpaceDN/>
              <w:adjustRightInd/>
              <w:spacing w:after="0"/>
              <w:jc w:val="right"/>
              <w:textAlignment w:val="auto"/>
              <w:rPr>
                <w:b/>
                <w:bCs/>
                <w:color w:val="000000"/>
                <w:sz w:val="20"/>
                <w:lang w:val="en-GB" w:eastAsia="en-GB"/>
              </w:rPr>
            </w:pPr>
            <w:r>
              <w:rPr>
                <w:b/>
                <w:bCs/>
                <w:color w:val="000000"/>
                <w:sz w:val="20"/>
              </w:rPr>
              <w:t>43,41</w:t>
            </w:r>
          </w:p>
        </w:tc>
        <w:tc>
          <w:tcPr>
            <w:tcW w:w="912" w:type="dxa"/>
            <w:tcBorders>
              <w:top w:val="nil"/>
              <w:left w:val="nil"/>
              <w:bottom w:val="single" w:sz="4" w:space="0" w:color="auto"/>
              <w:right w:val="single" w:sz="4" w:space="0" w:color="auto"/>
            </w:tcBorders>
            <w:shd w:val="clear" w:color="auto" w:fill="auto"/>
            <w:noWrap/>
            <w:vAlign w:val="center"/>
            <w:hideMark/>
          </w:tcPr>
          <w:p w14:paraId="734CA207" w14:textId="5EFB5DED" w:rsidR="00630F4C" w:rsidRPr="00630F4C" w:rsidRDefault="00DF0199" w:rsidP="00630F4C">
            <w:pPr>
              <w:overflowPunct/>
              <w:autoSpaceDE/>
              <w:autoSpaceDN/>
              <w:adjustRightInd/>
              <w:spacing w:after="0"/>
              <w:jc w:val="right"/>
              <w:textAlignment w:val="auto"/>
              <w:rPr>
                <w:b/>
                <w:bCs/>
                <w:color w:val="000000"/>
                <w:sz w:val="20"/>
                <w:lang w:val="en-GB" w:eastAsia="en-GB"/>
              </w:rPr>
            </w:pPr>
            <w:r>
              <w:rPr>
                <w:b/>
                <w:bCs/>
                <w:color w:val="000000"/>
                <w:sz w:val="20"/>
              </w:rPr>
              <w:t>91,85</w:t>
            </w:r>
          </w:p>
        </w:tc>
      </w:tr>
      <w:tr w:rsidR="00DF0199" w:rsidRPr="008E4F3C" w14:paraId="578FD489" w14:textId="77777777" w:rsidTr="00BC224D">
        <w:trPr>
          <w:trHeight w:val="300"/>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7D9781B7" w14:textId="50338A52" w:rsidR="00DF0199" w:rsidRPr="00630F4C" w:rsidRDefault="00DF0199" w:rsidP="00DF0199">
            <w:pPr>
              <w:overflowPunct/>
              <w:autoSpaceDE/>
              <w:autoSpaceDN/>
              <w:adjustRightInd/>
              <w:spacing w:after="0"/>
              <w:jc w:val="left"/>
              <w:textAlignment w:val="auto"/>
              <w:rPr>
                <w:sz w:val="18"/>
                <w:szCs w:val="18"/>
                <w:lang w:val="en-GB" w:eastAsia="en-GB"/>
              </w:rPr>
            </w:pPr>
            <w:r w:rsidRPr="00630F4C">
              <w:rPr>
                <w:sz w:val="18"/>
                <w:szCs w:val="18"/>
              </w:rPr>
              <w:t>31</w:t>
            </w:r>
          </w:p>
        </w:tc>
        <w:tc>
          <w:tcPr>
            <w:tcW w:w="2127" w:type="dxa"/>
            <w:tcBorders>
              <w:top w:val="nil"/>
              <w:left w:val="nil"/>
              <w:bottom w:val="single" w:sz="4" w:space="0" w:color="auto"/>
              <w:right w:val="single" w:sz="4" w:space="0" w:color="auto"/>
            </w:tcBorders>
            <w:shd w:val="clear" w:color="auto" w:fill="auto"/>
            <w:vAlign w:val="center"/>
            <w:hideMark/>
          </w:tcPr>
          <w:p w14:paraId="385855E6" w14:textId="2079E095" w:rsidR="00DF0199" w:rsidRPr="00630F4C" w:rsidRDefault="00DF0199" w:rsidP="00DF0199">
            <w:pPr>
              <w:overflowPunct/>
              <w:autoSpaceDE/>
              <w:autoSpaceDN/>
              <w:adjustRightInd/>
              <w:spacing w:after="0"/>
              <w:jc w:val="left"/>
              <w:textAlignment w:val="auto"/>
              <w:rPr>
                <w:sz w:val="18"/>
                <w:szCs w:val="18"/>
                <w:lang w:val="en-GB" w:eastAsia="en-GB"/>
              </w:rPr>
            </w:pPr>
            <w:r w:rsidRPr="00630F4C">
              <w:rPr>
                <w:sz w:val="18"/>
                <w:szCs w:val="18"/>
              </w:rPr>
              <w:t>Rashodi za zaposlene</w:t>
            </w:r>
          </w:p>
        </w:tc>
        <w:tc>
          <w:tcPr>
            <w:tcW w:w="1366" w:type="dxa"/>
            <w:tcBorders>
              <w:top w:val="nil"/>
              <w:left w:val="nil"/>
              <w:bottom w:val="single" w:sz="4" w:space="0" w:color="auto"/>
              <w:right w:val="single" w:sz="4" w:space="0" w:color="auto"/>
            </w:tcBorders>
            <w:shd w:val="clear" w:color="auto" w:fill="auto"/>
            <w:noWrap/>
            <w:vAlign w:val="center"/>
            <w:hideMark/>
          </w:tcPr>
          <w:p w14:paraId="2FE41B51" w14:textId="043E1E09" w:rsidR="00DF0199" w:rsidRPr="00BC224D" w:rsidRDefault="00DF0199" w:rsidP="00DF0199">
            <w:pPr>
              <w:overflowPunct/>
              <w:autoSpaceDE/>
              <w:autoSpaceDN/>
              <w:adjustRightInd/>
              <w:spacing w:after="0"/>
              <w:jc w:val="right"/>
              <w:textAlignment w:val="auto"/>
              <w:rPr>
                <w:color w:val="000000"/>
                <w:sz w:val="20"/>
                <w:lang w:val="en-GB" w:eastAsia="en-GB"/>
              </w:rPr>
            </w:pPr>
            <w:r w:rsidRPr="00BC224D">
              <w:rPr>
                <w:color w:val="000000"/>
                <w:sz w:val="20"/>
              </w:rPr>
              <w:t>1.085.523,62</w:t>
            </w:r>
          </w:p>
        </w:tc>
        <w:tc>
          <w:tcPr>
            <w:tcW w:w="1401" w:type="dxa"/>
            <w:tcBorders>
              <w:top w:val="nil"/>
              <w:left w:val="nil"/>
              <w:bottom w:val="single" w:sz="4" w:space="0" w:color="auto"/>
              <w:right w:val="single" w:sz="4" w:space="0" w:color="auto"/>
            </w:tcBorders>
            <w:shd w:val="clear" w:color="auto" w:fill="auto"/>
            <w:noWrap/>
            <w:vAlign w:val="center"/>
            <w:hideMark/>
          </w:tcPr>
          <w:p w14:paraId="5CF8C632" w14:textId="779CC27F" w:rsidR="00DF0199" w:rsidRPr="00630F4C" w:rsidRDefault="00DF0199" w:rsidP="00DF0199">
            <w:pPr>
              <w:overflowPunct/>
              <w:autoSpaceDE/>
              <w:autoSpaceDN/>
              <w:adjustRightInd/>
              <w:spacing w:after="0"/>
              <w:jc w:val="right"/>
              <w:textAlignment w:val="auto"/>
              <w:rPr>
                <w:color w:val="000000"/>
                <w:sz w:val="20"/>
                <w:lang w:val="en-GB" w:eastAsia="en-GB"/>
              </w:rPr>
            </w:pPr>
            <w:r>
              <w:rPr>
                <w:color w:val="000000"/>
                <w:sz w:val="20"/>
              </w:rPr>
              <w:t>1.980.800</w:t>
            </w:r>
          </w:p>
        </w:tc>
        <w:tc>
          <w:tcPr>
            <w:tcW w:w="1366" w:type="dxa"/>
            <w:tcBorders>
              <w:top w:val="nil"/>
              <w:left w:val="nil"/>
              <w:bottom w:val="single" w:sz="4" w:space="0" w:color="auto"/>
              <w:right w:val="single" w:sz="4" w:space="0" w:color="auto"/>
            </w:tcBorders>
            <w:shd w:val="clear" w:color="auto" w:fill="auto"/>
            <w:noWrap/>
            <w:vAlign w:val="center"/>
            <w:hideMark/>
          </w:tcPr>
          <w:p w14:paraId="4ED848DA" w14:textId="4063B9E4" w:rsidR="00DF0199" w:rsidRPr="00630F4C" w:rsidRDefault="00DF0199" w:rsidP="00DF0199">
            <w:pPr>
              <w:overflowPunct/>
              <w:autoSpaceDE/>
              <w:autoSpaceDN/>
              <w:adjustRightInd/>
              <w:spacing w:after="0"/>
              <w:jc w:val="right"/>
              <w:textAlignment w:val="auto"/>
              <w:rPr>
                <w:color w:val="000000"/>
                <w:sz w:val="20"/>
                <w:lang w:val="en-GB" w:eastAsia="en-GB"/>
              </w:rPr>
            </w:pPr>
            <w:r>
              <w:rPr>
                <w:color w:val="000000"/>
                <w:sz w:val="20"/>
              </w:rPr>
              <w:t>1.980.800</w:t>
            </w:r>
          </w:p>
        </w:tc>
        <w:tc>
          <w:tcPr>
            <w:tcW w:w="1366" w:type="dxa"/>
            <w:tcBorders>
              <w:top w:val="nil"/>
              <w:left w:val="nil"/>
              <w:bottom w:val="single" w:sz="4" w:space="0" w:color="auto"/>
              <w:right w:val="single" w:sz="4" w:space="0" w:color="auto"/>
            </w:tcBorders>
            <w:shd w:val="clear" w:color="auto" w:fill="auto"/>
            <w:noWrap/>
            <w:vAlign w:val="center"/>
            <w:hideMark/>
          </w:tcPr>
          <w:p w14:paraId="5A6FA11F" w14:textId="51F94124" w:rsidR="00DF0199" w:rsidRPr="00630F4C" w:rsidRDefault="00DF0199" w:rsidP="00DF0199">
            <w:pPr>
              <w:overflowPunct/>
              <w:autoSpaceDE/>
              <w:autoSpaceDN/>
              <w:adjustRightInd/>
              <w:spacing w:after="0"/>
              <w:jc w:val="right"/>
              <w:textAlignment w:val="auto"/>
              <w:rPr>
                <w:color w:val="000000"/>
                <w:sz w:val="20"/>
                <w:lang w:val="en-GB" w:eastAsia="en-GB"/>
              </w:rPr>
            </w:pPr>
            <w:r>
              <w:rPr>
                <w:color w:val="000000"/>
                <w:sz w:val="20"/>
              </w:rPr>
              <w:t>1.295.441,99</w:t>
            </w:r>
          </w:p>
        </w:tc>
        <w:tc>
          <w:tcPr>
            <w:tcW w:w="912" w:type="dxa"/>
            <w:tcBorders>
              <w:top w:val="nil"/>
              <w:left w:val="nil"/>
              <w:bottom w:val="single" w:sz="4" w:space="0" w:color="auto"/>
              <w:right w:val="single" w:sz="4" w:space="0" w:color="auto"/>
            </w:tcBorders>
            <w:shd w:val="clear" w:color="auto" w:fill="auto"/>
            <w:noWrap/>
            <w:vAlign w:val="center"/>
          </w:tcPr>
          <w:p w14:paraId="0784F882" w14:textId="087500B2" w:rsidR="00DF0199" w:rsidRPr="00630F4C" w:rsidRDefault="00BC224D" w:rsidP="00DF0199">
            <w:pPr>
              <w:overflowPunct/>
              <w:autoSpaceDE/>
              <w:autoSpaceDN/>
              <w:adjustRightInd/>
              <w:spacing w:after="0"/>
              <w:jc w:val="right"/>
              <w:textAlignment w:val="auto"/>
              <w:rPr>
                <w:color w:val="000000"/>
                <w:sz w:val="20"/>
                <w:lang w:val="en-GB" w:eastAsia="en-GB"/>
              </w:rPr>
            </w:pPr>
            <w:r>
              <w:rPr>
                <w:color w:val="000000"/>
                <w:sz w:val="20"/>
                <w:lang w:val="en-GB" w:eastAsia="en-GB"/>
              </w:rPr>
              <w:t>119,34</w:t>
            </w:r>
          </w:p>
        </w:tc>
        <w:tc>
          <w:tcPr>
            <w:tcW w:w="912" w:type="dxa"/>
            <w:tcBorders>
              <w:top w:val="nil"/>
              <w:left w:val="nil"/>
              <w:bottom w:val="single" w:sz="4" w:space="0" w:color="auto"/>
              <w:right w:val="single" w:sz="4" w:space="0" w:color="auto"/>
            </w:tcBorders>
            <w:shd w:val="clear" w:color="auto" w:fill="auto"/>
            <w:noWrap/>
            <w:vAlign w:val="center"/>
            <w:hideMark/>
          </w:tcPr>
          <w:p w14:paraId="133E4954" w14:textId="12CD56DB" w:rsidR="00DF0199" w:rsidRPr="00630F4C" w:rsidRDefault="00DF0199" w:rsidP="00DF0199">
            <w:pPr>
              <w:overflowPunct/>
              <w:autoSpaceDE/>
              <w:autoSpaceDN/>
              <w:adjustRightInd/>
              <w:spacing w:after="0"/>
              <w:jc w:val="right"/>
              <w:textAlignment w:val="auto"/>
              <w:rPr>
                <w:color w:val="000000"/>
                <w:sz w:val="20"/>
                <w:lang w:val="en-GB" w:eastAsia="en-GB"/>
              </w:rPr>
            </w:pPr>
            <w:r>
              <w:rPr>
                <w:color w:val="000000"/>
                <w:sz w:val="20"/>
              </w:rPr>
              <w:t>65,40</w:t>
            </w:r>
          </w:p>
        </w:tc>
      </w:tr>
      <w:tr w:rsidR="00DF0199" w:rsidRPr="008E4F3C" w14:paraId="104F0878" w14:textId="77777777" w:rsidTr="00BC224D">
        <w:trPr>
          <w:trHeight w:val="300"/>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01BBAEAB" w14:textId="3439ACF4" w:rsidR="00DF0199" w:rsidRPr="00630F4C" w:rsidRDefault="00DF0199" w:rsidP="00DF0199">
            <w:pPr>
              <w:overflowPunct/>
              <w:autoSpaceDE/>
              <w:autoSpaceDN/>
              <w:adjustRightInd/>
              <w:spacing w:after="0"/>
              <w:jc w:val="left"/>
              <w:textAlignment w:val="auto"/>
              <w:rPr>
                <w:sz w:val="18"/>
                <w:szCs w:val="18"/>
                <w:lang w:val="en-GB" w:eastAsia="en-GB"/>
              </w:rPr>
            </w:pPr>
            <w:r w:rsidRPr="00630F4C">
              <w:rPr>
                <w:sz w:val="18"/>
                <w:szCs w:val="18"/>
              </w:rPr>
              <w:t>32</w:t>
            </w:r>
          </w:p>
        </w:tc>
        <w:tc>
          <w:tcPr>
            <w:tcW w:w="2127" w:type="dxa"/>
            <w:tcBorders>
              <w:top w:val="nil"/>
              <w:left w:val="nil"/>
              <w:bottom w:val="single" w:sz="4" w:space="0" w:color="auto"/>
              <w:right w:val="single" w:sz="4" w:space="0" w:color="auto"/>
            </w:tcBorders>
            <w:shd w:val="clear" w:color="auto" w:fill="auto"/>
            <w:vAlign w:val="center"/>
            <w:hideMark/>
          </w:tcPr>
          <w:p w14:paraId="18289045" w14:textId="4F77EC26" w:rsidR="00DF0199" w:rsidRPr="00630F4C" w:rsidRDefault="00DF0199" w:rsidP="00DF0199">
            <w:pPr>
              <w:overflowPunct/>
              <w:autoSpaceDE/>
              <w:autoSpaceDN/>
              <w:adjustRightInd/>
              <w:spacing w:after="0"/>
              <w:jc w:val="left"/>
              <w:textAlignment w:val="auto"/>
              <w:rPr>
                <w:sz w:val="18"/>
                <w:szCs w:val="18"/>
                <w:lang w:val="en-GB" w:eastAsia="en-GB"/>
              </w:rPr>
            </w:pPr>
            <w:r w:rsidRPr="00630F4C">
              <w:rPr>
                <w:sz w:val="18"/>
                <w:szCs w:val="18"/>
              </w:rPr>
              <w:t>Materijalni rashodi</w:t>
            </w:r>
          </w:p>
        </w:tc>
        <w:tc>
          <w:tcPr>
            <w:tcW w:w="1366" w:type="dxa"/>
            <w:tcBorders>
              <w:top w:val="nil"/>
              <w:left w:val="nil"/>
              <w:bottom w:val="single" w:sz="4" w:space="0" w:color="auto"/>
              <w:right w:val="single" w:sz="4" w:space="0" w:color="auto"/>
            </w:tcBorders>
            <w:shd w:val="clear" w:color="auto" w:fill="auto"/>
            <w:noWrap/>
            <w:vAlign w:val="center"/>
            <w:hideMark/>
          </w:tcPr>
          <w:p w14:paraId="673358BF" w14:textId="4024A2A4" w:rsidR="00DF0199" w:rsidRPr="00BC224D" w:rsidRDefault="00DF0199" w:rsidP="00DF0199">
            <w:pPr>
              <w:overflowPunct/>
              <w:autoSpaceDE/>
              <w:autoSpaceDN/>
              <w:adjustRightInd/>
              <w:spacing w:after="0"/>
              <w:jc w:val="right"/>
              <w:textAlignment w:val="auto"/>
              <w:rPr>
                <w:color w:val="000000"/>
                <w:sz w:val="20"/>
                <w:lang w:val="en-GB" w:eastAsia="en-GB"/>
              </w:rPr>
            </w:pPr>
            <w:r w:rsidRPr="00BC224D">
              <w:rPr>
                <w:color w:val="000000"/>
                <w:sz w:val="20"/>
              </w:rPr>
              <w:t>6.254.251,93</w:t>
            </w:r>
          </w:p>
        </w:tc>
        <w:tc>
          <w:tcPr>
            <w:tcW w:w="1401" w:type="dxa"/>
            <w:tcBorders>
              <w:top w:val="nil"/>
              <w:left w:val="nil"/>
              <w:bottom w:val="single" w:sz="4" w:space="0" w:color="auto"/>
              <w:right w:val="single" w:sz="4" w:space="0" w:color="auto"/>
            </w:tcBorders>
            <w:shd w:val="clear" w:color="auto" w:fill="auto"/>
            <w:noWrap/>
            <w:vAlign w:val="center"/>
            <w:hideMark/>
          </w:tcPr>
          <w:p w14:paraId="37E07247" w14:textId="768C0A24" w:rsidR="00DF0199" w:rsidRPr="00630F4C" w:rsidRDefault="00DF0199" w:rsidP="00DF0199">
            <w:pPr>
              <w:overflowPunct/>
              <w:autoSpaceDE/>
              <w:autoSpaceDN/>
              <w:adjustRightInd/>
              <w:spacing w:after="0"/>
              <w:jc w:val="right"/>
              <w:textAlignment w:val="auto"/>
              <w:rPr>
                <w:color w:val="000000"/>
                <w:sz w:val="20"/>
                <w:lang w:val="en-GB" w:eastAsia="en-GB"/>
              </w:rPr>
            </w:pPr>
            <w:r>
              <w:rPr>
                <w:color w:val="000000"/>
                <w:sz w:val="20"/>
              </w:rPr>
              <w:t>4.836.121</w:t>
            </w:r>
          </w:p>
        </w:tc>
        <w:tc>
          <w:tcPr>
            <w:tcW w:w="1366" w:type="dxa"/>
            <w:tcBorders>
              <w:top w:val="nil"/>
              <w:left w:val="nil"/>
              <w:bottom w:val="single" w:sz="4" w:space="0" w:color="auto"/>
              <w:right w:val="single" w:sz="4" w:space="0" w:color="auto"/>
            </w:tcBorders>
            <w:shd w:val="clear" w:color="auto" w:fill="auto"/>
            <w:noWrap/>
            <w:vAlign w:val="center"/>
            <w:hideMark/>
          </w:tcPr>
          <w:p w14:paraId="388CCDEF" w14:textId="2B2CE15D" w:rsidR="00DF0199" w:rsidRPr="00630F4C" w:rsidRDefault="00DF0199" w:rsidP="00DF0199">
            <w:pPr>
              <w:overflowPunct/>
              <w:autoSpaceDE/>
              <w:autoSpaceDN/>
              <w:adjustRightInd/>
              <w:spacing w:after="0"/>
              <w:jc w:val="right"/>
              <w:textAlignment w:val="auto"/>
              <w:rPr>
                <w:color w:val="000000"/>
                <w:sz w:val="20"/>
                <w:lang w:val="en-GB" w:eastAsia="en-GB"/>
              </w:rPr>
            </w:pPr>
            <w:r>
              <w:rPr>
                <w:color w:val="000000"/>
                <w:sz w:val="20"/>
              </w:rPr>
              <w:t>4.836.121</w:t>
            </w:r>
          </w:p>
        </w:tc>
        <w:tc>
          <w:tcPr>
            <w:tcW w:w="1366" w:type="dxa"/>
            <w:tcBorders>
              <w:top w:val="nil"/>
              <w:left w:val="nil"/>
              <w:bottom w:val="single" w:sz="4" w:space="0" w:color="auto"/>
              <w:right w:val="single" w:sz="4" w:space="0" w:color="auto"/>
            </w:tcBorders>
            <w:shd w:val="clear" w:color="auto" w:fill="auto"/>
            <w:noWrap/>
            <w:vAlign w:val="center"/>
            <w:hideMark/>
          </w:tcPr>
          <w:p w14:paraId="0CC50FE3" w14:textId="0D8D9F10" w:rsidR="00DF0199" w:rsidRPr="00C229F2" w:rsidRDefault="00DF0199" w:rsidP="00DF0199">
            <w:pPr>
              <w:overflowPunct/>
              <w:autoSpaceDE/>
              <w:autoSpaceDN/>
              <w:adjustRightInd/>
              <w:spacing w:after="0"/>
              <w:jc w:val="right"/>
              <w:textAlignment w:val="auto"/>
              <w:rPr>
                <w:color w:val="000000"/>
                <w:sz w:val="20"/>
                <w:lang w:val="en-GB" w:eastAsia="en-GB"/>
              </w:rPr>
            </w:pPr>
            <w:r>
              <w:rPr>
                <w:color w:val="000000"/>
                <w:sz w:val="20"/>
              </w:rPr>
              <w:t>4.322.981,07</w:t>
            </w:r>
          </w:p>
        </w:tc>
        <w:tc>
          <w:tcPr>
            <w:tcW w:w="912" w:type="dxa"/>
            <w:tcBorders>
              <w:top w:val="nil"/>
              <w:left w:val="nil"/>
              <w:bottom w:val="single" w:sz="4" w:space="0" w:color="auto"/>
              <w:right w:val="single" w:sz="4" w:space="0" w:color="auto"/>
            </w:tcBorders>
            <w:shd w:val="clear" w:color="auto" w:fill="auto"/>
            <w:noWrap/>
            <w:vAlign w:val="center"/>
          </w:tcPr>
          <w:p w14:paraId="7EFF2491" w14:textId="3B60735B" w:rsidR="00DF0199" w:rsidRPr="00630F4C" w:rsidRDefault="00BC224D" w:rsidP="00DF0199">
            <w:pPr>
              <w:overflowPunct/>
              <w:autoSpaceDE/>
              <w:autoSpaceDN/>
              <w:adjustRightInd/>
              <w:spacing w:after="0"/>
              <w:jc w:val="right"/>
              <w:textAlignment w:val="auto"/>
              <w:rPr>
                <w:color w:val="000000"/>
                <w:sz w:val="20"/>
                <w:lang w:val="en-GB" w:eastAsia="en-GB"/>
              </w:rPr>
            </w:pPr>
            <w:r>
              <w:rPr>
                <w:color w:val="000000"/>
                <w:sz w:val="20"/>
                <w:lang w:val="en-GB" w:eastAsia="en-GB"/>
              </w:rPr>
              <w:t>69,12</w:t>
            </w:r>
          </w:p>
        </w:tc>
        <w:tc>
          <w:tcPr>
            <w:tcW w:w="912" w:type="dxa"/>
            <w:tcBorders>
              <w:top w:val="nil"/>
              <w:left w:val="nil"/>
              <w:bottom w:val="single" w:sz="4" w:space="0" w:color="auto"/>
              <w:right w:val="single" w:sz="4" w:space="0" w:color="auto"/>
            </w:tcBorders>
            <w:shd w:val="clear" w:color="auto" w:fill="auto"/>
            <w:noWrap/>
            <w:vAlign w:val="center"/>
            <w:hideMark/>
          </w:tcPr>
          <w:p w14:paraId="1D2ADC38" w14:textId="4128FB72" w:rsidR="00DF0199" w:rsidRPr="00630F4C" w:rsidRDefault="00DF0199" w:rsidP="00DF0199">
            <w:pPr>
              <w:overflowPunct/>
              <w:autoSpaceDE/>
              <w:autoSpaceDN/>
              <w:adjustRightInd/>
              <w:spacing w:after="0"/>
              <w:jc w:val="right"/>
              <w:textAlignment w:val="auto"/>
              <w:rPr>
                <w:color w:val="000000"/>
                <w:sz w:val="20"/>
                <w:lang w:val="en-GB" w:eastAsia="en-GB"/>
              </w:rPr>
            </w:pPr>
            <w:r>
              <w:rPr>
                <w:color w:val="000000"/>
                <w:sz w:val="20"/>
              </w:rPr>
              <w:t>89,39</w:t>
            </w:r>
          </w:p>
        </w:tc>
      </w:tr>
      <w:tr w:rsidR="00DF0199" w:rsidRPr="008E4F3C" w14:paraId="54EE48F5" w14:textId="77777777" w:rsidTr="00BC224D">
        <w:trPr>
          <w:trHeight w:val="450"/>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BBC345" w14:textId="306BA3E2" w:rsidR="00DF0199" w:rsidRPr="00630F4C" w:rsidRDefault="00DF0199" w:rsidP="00DF0199">
            <w:pPr>
              <w:overflowPunct/>
              <w:autoSpaceDE/>
              <w:autoSpaceDN/>
              <w:adjustRightInd/>
              <w:spacing w:after="0"/>
              <w:jc w:val="left"/>
              <w:textAlignment w:val="auto"/>
              <w:rPr>
                <w:sz w:val="18"/>
                <w:szCs w:val="18"/>
                <w:lang w:val="en-GB" w:eastAsia="en-GB"/>
              </w:rPr>
            </w:pPr>
            <w:r w:rsidRPr="00630F4C">
              <w:rPr>
                <w:sz w:val="18"/>
                <w:szCs w:val="18"/>
              </w:rPr>
              <w:t>34</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3ED3C1" w14:textId="478AD8A6" w:rsidR="00DF0199" w:rsidRPr="00630F4C" w:rsidRDefault="00DF0199" w:rsidP="00DF0199">
            <w:pPr>
              <w:overflowPunct/>
              <w:autoSpaceDE/>
              <w:autoSpaceDN/>
              <w:adjustRightInd/>
              <w:spacing w:after="0"/>
              <w:jc w:val="left"/>
              <w:textAlignment w:val="auto"/>
              <w:rPr>
                <w:sz w:val="18"/>
                <w:szCs w:val="18"/>
                <w:lang w:val="en-GB" w:eastAsia="en-GB"/>
              </w:rPr>
            </w:pPr>
            <w:r w:rsidRPr="00630F4C">
              <w:rPr>
                <w:sz w:val="18"/>
                <w:szCs w:val="18"/>
              </w:rPr>
              <w:t>Financijski rashodi</w:t>
            </w:r>
          </w:p>
        </w:tc>
        <w:tc>
          <w:tcPr>
            <w:tcW w:w="13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4E7AF6" w14:textId="73764AC0" w:rsidR="00DF0199" w:rsidRPr="00BC224D" w:rsidRDefault="00DF0199" w:rsidP="00DF0199">
            <w:pPr>
              <w:overflowPunct/>
              <w:autoSpaceDE/>
              <w:autoSpaceDN/>
              <w:adjustRightInd/>
              <w:spacing w:after="0"/>
              <w:jc w:val="right"/>
              <w:textAlignment w:val="auto"/>
              <w:rPr>
                <w:color w:val="000000"/>
                <w:sz w:val="20"/>
                <w:lang w:val="en-GB" w:eastAsia="en-GB"/>
              </w:rPr>
            </w:pPr>
            <w:r w:rsidRPr="00BC224D">
              <w:rPr>
                <w:color w:val="000000"/>
                <w:sz w:val="20"/>
              </w:rPr>
              <w:t>1,69</w:t>
            </w: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D02620" w14:textId="64FC10A8" w:rsidR="00DF0199" w:rsidRPr="00630F4C" w:rsidRDefault="00DF0199" w:rsidP="00DF0199">
            <w:pPr>
              <w:overflowPunct/>
              <w:autoSpaceDE/>
              <w:autoSpaceDN/>
              <w:adjustRightInd/>
              <w:spacing w:after="0"/>
              <w:jc w:val="right"/>
              <w:textAlignment w:val="auto"/>
              <w:rPr>
                <w:color w:val="000000"/>
                <w:sz w:val="20"/>
                <w:lang w:val="en-GB" w:eastAsia="en-GB"/>
              </w:rPr>
            </w:pPr>
            <w:r>
              <w:rPr>
                <w:color w:val="000000"/>
                <w:sz w:val="20"/>
              </w:rPr>
              <w:t>245</w:t>
            </w:r>
          </w:p>
        </w:tc>
        <w:tc>
          <w:tcPr>
            <w:tcW w:w="13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539602" w14:textId="520D1C75" w:rsidR="00DF0199" w:rsidRPr="00630F4C" w:rsidRDefault="00DF0199" w:rsidP="00DF0199">
            <w:pPr>
              <w:overflowPunct/>
              <w:autoSpaceDE/>
              <w:autoSpaceDN/>
              <w:adjustRightInd/>
              <w:spacing w:after="0"/>
              <w:jc w:val="right"/>
              <w:textAlignment w:val="auto"/>
              <w:rPr>
                <w:color w:val="000000"/>
                <w:sz w:val="20"/>
                <w:lang w:val="en-GB" w:eastAsia="en-GB"/>
              </w:rPr>
            </w:pPr>
            <w:r>
              <w:rPr>
                <w:color w:val="000000"/>
                <w:sz w:val="20"/>
              </w:rPr>
              <w:t>245</w:t>
            </w:r>
          </w:p>
        </w:tc>
        <w:tc>
          <w:tcPr>
            <w:tcW w:w="13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AE9249" w14:textId="41EEC0AA" w:rsidR="00DF0199" w:rsidRPr="00630F4C" w:rsidRDefault="00DF0199" w:rsidP="00DF0199">
            <w:pPr>
              <w:overflowPunct/>
              <w:autoSpaceDE/>
              <w:autoSpaceDN/>
              <w:adjustRightInd/>
              <w:spacing w:after="0"/>
              <w:jc w:val="right"/>
              <w:textAlignment w:val="auto"/>
              <w:rPr>
                <w:color w:val="000000"/>
                <w:sz w:val="20"/>
                <w:lang w:val="en-GB" w:eastAsia="en-GB"/>
              </w:rPr>
            </w:pPr>
            <w:r>
              <w:rPr>
                <w:color w:val="000000"/>
                <w:sz w:val="20"/>
              </w:rPr>
              <w:t>0,19</w:t>
            </w:r>
          </w:p>
        </w:tc>
        <w:tc>
          <w:tcPr>
            <w:tcW w:w="9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2EBFE8" w14:textId="7EE8EB40" w:rsidR="00DF0199" w:rsidRPr="00630F4C" w:rsidRDefault="00BC224D" w:rsidP="00DF0199">
            <w:pPr>
              <w:overflowPunct/>
              <w:autoSpaceDE/>
              <w:autoSpaceDN/>
              <w:adjustRightInd/>
              <w:spacing w:after="0"/>
              <w:jc w:val="right"/>
              <w:textAlignment w:val="auto"/>
              <w:rPr>
                <w:color w:val="000000"/>
                <w:sz w:val="20"/>
                <w:lang w:val="en-GB" w:eastAsia="en-GB"/>
              </w:rPr>
            </w:pPr>
            <w:r>
              <w:rPr>
                <w:color w:val="000000"/>
                <w:sz w:val="20"/>
                <w:lang w:val="en-GB" w:eastAsia="en-GB"/>
              </w:rPr>
              <w:t>11,24</w:t>
            </w:r>
          </w:p>
        </w:tc>
        <w:tc>
          <w:tcPr>
            <w:tcW w:w="9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84E267" w14:textId="0D676AE5" w:rsidR="00DF0199" w:rsidRPr="00630F4C" w:rsidRDefault="00DF0199" w:rsidP="00DF0199">
            <w:pPr>
              <w:overflowPunct/>
              <w:autoSpaceDE/>
              <w:autoSpaceDN/>
              <w:adjustRightInd/>
              <w:spacing w:after="0"/>
              <w:jc w:val="right"/>
              <w:textAlignment w:val="auto"/>
              <w:rPr>
                <w:color w:val="000000"/>
                <w:sz w:val="20"/>
                <w:lang w:val="en-GB" w:eastAsia="en-GB"/>
              </w:rPr>
            </w:pPr>
            <w:r>
              <w:rPr>
                <w:color w:val="000000"/>
                <w:sz w:val="20"/>
              </w:rPr>
              <w:t>0,08</w:t>
            </w:r>
          </w:p>
        </w:tc>
      </w:tr>
      <w:tr w:rsidR="00DF0199" w:rsidRPr="008E4F3C" w14:paraId="57AD2A35" w14:textId="77777777" w:rsidTr="00BC224D">
        <w:trPr>
          <w:trHeight w:val="300"/>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C05E03" w14:textId="35086BE0" w:rsidR="00DF0199" w:rsidRPr="00630F4C" w:rsidRDefault="00DF0199" w:rsidP="00DF0199">
            <w:pPr>
              <w:overflowPunct/>
              <w:autoSpaceDE/>
              <w:autoSpaceDN/>
              <w:adjustRightInd/>
              <w:spacing w:after="0"/>
              <w:jc w:val="left"/>
              <w:textAlignment w:val="auto"/>
              <w:rPr>
                <w:sz w:val="18"/>
                <w:szCs w:val="18"/>
                <w:lang w:val="en-GB" w:eastAsia="en-GB"/>
              </w:rPr>
            </w:pPr>
            <w:r w:rsidRPr="00630F4C">
              <w:rPr>
                <w:sz w:val="18"/>
                <w:szCs w:val="18"/>
              </w:rPr>
              <w:t>36</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3AE36D89" w14:textId="6117B961" w:rsidR="00DF0199" w:rsidRPr="00630F4C" w:rsidRDefault="00DF0199" w:rsidP="00DF0199">
            <w:pPr>
              <w:overflowPunct/>
              <w:autoSpaceDE/>
              <w:autoSpaceDN/>
              <w:adjustRightInd/>
              <w:spacing w:after="0"/>
              <w:jc w:val="left"/>
              <w:textAlignment w:val="auto"/>
              <w:rPr>
                <w:sz w:val="18"/>
                <w:szCs w:val="18"/>
                <w:lang w:val="en-GB" w:eastAsia="en-GB"/>
              </w:rPr>
            </w:pPr>
            <w:r w:rsidRPr="00630F4C">
              <w:rPr>
                <w:sz w:val="18"/>
                <w:szCs w:val="18"/>
              </w:rPr>
              <w:t>Pomoći dane u inozemstvo i unutar općeg proračuna</w:t>
            </w:r>
          </w:p>
        </w:tc>
        <w:tc>
          <w:tcPr>
            <w:tcW w:w="1366" w:type="dxa"/>
            <w:tcBorders>
              <w:top w:val="single" w:sz="4" w:space="0" w:color="auto"/>
              <w:left w:val="nil"/>
              <w:bottom w:val="single" w:sz="4" w:space="0" w:color="auto"/>
              <w:right w:val="single" w:sz="4" w:space="0" w:color="auto"/>
            </w:tcBorders>
            <w:shd w:val="clear" w:color="auto" w:fill="auto"/>
            <w:noWrap/>
            <w:vAlign w:val="center"/>
            <w:hideMark/>
          </w:tcPr>
          <w:p w14:paraId="41EDEF72" w14:textId="59736704" w:rsidR="00DF0199" w:rsidRPr="00BC224D" w:rsidRDefault="00DF0199" w:rsidP="00DF0199">
            <w:pPr>
              <w:overflowPunct/>
              <w:autoSpaceDE/>
              <w:autoSpaceDN/>
              <w:adjustRightInd/>
              <w:spacing w:after="0"/>
              <w:jc w:val="right"/>
              <w:textAlignment w:val="auto"/>
              <w:rPr>
                <w:color w:val="000000"/>
                <w:sz w:val="20"/>
                <w:lang w:val="en-GB" w:eastAsia="en-GB"/>
              </w:rPr>
            </w:pPr>
            <w:r w:rsidRPr="00BC224D">
              <w:rPr>
                <w:color w:val="000000"/>
                <w:sz w:val="20"/>
                <w:lang w:val="en-GB" w:eastAsia="en-GB"/>
              </w:rPr>
              <w:t>30.912.799,18</w:t>
            </w:r>
          </w:p>
        </w:tc>
        <w:tc>
          <w:tcPr>
            <w:tcW w:w="1401" w:type="dxa"/>
            <w:tcBorders>
              <w:top w:val="single" w:sz="4" w:space="0" w:color="auto"/>
              <w:left w:val="nil"/>
              <w:bottom w:val="single" w:sz="4" w:space="0" w:color="auto"/>
              <w:right w:val="single" w:sz="4" w:space="0" w:color="auto"/>
            </w:tcBorders>
            <w:shd w:val="clear" w:color="auto" w:fill="auto"/>
            <w:noWrap/>
            <w:vAlign w:val="center"/>
            <w:hideMark/>
          </w:tcPr>
          <w:p w14:paraId="6007B79D" w14:textId="72959D63" w:rsidR="00DF0199" w:rsidRPr="00630F4C" w:rsidRDefault="00DF0199" w:rsidP="00DF0199">
            <w:pPr>
              <w:overflowPunct/>
              <w:autoSpaceDE/>
              <w:autoSpaceDN/>
              <w:adjustRightInd/>
              <w:spacing w:after="0"/>
              <w:jc w:val="right"/>
              <w:textAlignment w:val="auto"/>
              <w:rPr>
                <w:color w:val="000000"/>
                <w:sz w:val="20"/>
                <w:lang w:val="en-GB" w:eastAsia="en-GB"/>
              </w:rPr>
            </w:pPr>
            <w:r>
              <w:rPr>
                <w:color w:val="000000"/>
                <w:sz w:val="20"/>
              </w:rPr>
              <w:t>7.668.500</w:t>
            </w:r>
          </w:p>
        </w:tc>
        <w:tc>
          <w:tcPr>
            <w:tcW w:w="1366" w:type="dxa"/>
            <w:tcBorders>
              <w:top w:val="single" w:sz="4" w:space="0" w:color="auto"/>
              <w:left w:val="nil"/>
              <w:bottom w:val="single" w:sz="4" w:space="0" w:color="auto"/>
              <w:right w:val="single" w:sz="4" w:space="0" w:color="auto"/>
            </w:tcBorders>
            <w:shd w:val="clear" w:color="auto" w:fill="auto"/>
            <w:noWrap/>
            <w:vAlign w:val="center"/>
            <w:hideMark/>
          </w:tcPr>
          <w:p w14:paraId="231BDBA7" w14:textId="7464A61F" w:rsidR="00DF0199" w:rsidRPr="00630F4C" w:rsidRDefault="00DF0199" w:rsidP="00DF0199">
            <w:pPr>
              <w:overflowPunct/>
              <w:autoSpaceDE/>
              <w:autoSpaceDN/>
              <w:adjustRightInd/>
              <w:spacing w:after="0"/>
              <w:jc w:val="right"/>
              <w:textAlignment w:val="auto"/>
              <w:rPr>
                <w:color w:val="000000"/>
                <w:sz w:val="20"/>
                <w:lang w:val="en-GB" w:eastAsia="en-GB"/>
              </w:rPr>
            </w:pPr>
            <w:r>
              <w:rPr>
                <w:color w:val="000000"/>
                <w:sz w:val="20"/>
              </w:rPr>
              <w:t>7.668.500</w:t>
            </w:r>
          </w:p>
        </w:tc>
        <w:tc>
          <w:tcPr>
            <w:tcW w:w="1366" w:type="dxa"/>
            <w:tcBorders>
              <w:top w:val="single" w:sz="4" w:space="0" w:color="auto"/>
              <w:left w:val="nil"/>
              <w:bottom w:val="single" w:sz="4" w:space="0" w:color="auto"/>
              <w:right w:val="single" w:sz="4" w:space="0" w:color="auto"/>
            </w:tcBorders>
            <w:shd w:val="clear" w:color="auto" w:fill="auto"/>
            <w:noWrap/>
            <w:vAlign w:val="center"/>
            <w:hideMark/>
          </w:tcPr>
          <w:p w14:paraId="7EC6526E" w14:textId="11AFCB8D" w:rsidR="00DF0199" w:rsidRPr="00630F4C" w:rsidRDefault="00DF0199" w:rsidP="00DF0199">
            <w:pPr>
              <w:overflowPunct/>
              <w:autoSpaceDE/>
              <w:autoSpaceDN/>
              <w:adjustRightInd/>
              <w:spacing w:after="0"/>
              <w:jc w:val="right"/>
              <w:textAlignment w:val="auto"/>
              <w:rPr>
                <w:color w:val="000000"/>
                <w:sz w:val="20"/>
                <w:lang w:val="en-GB" w:eastAsia="en-GB"/>
              </w:rPr>
            </w:pPr>
            <w:r>
              <w:rPr>
                <w:color w:val="000000"/>
                <w:sz w:val="20"/>
              </w:rPr>
              <w:t>7.668.499,51</w:t>
            </w:r>
          </w:p>
        </w:tc>
        <w:tc>
          <w:tcPr>
            <w:tcW w:w="912" w:type="dxa"/>
            <w:tcBorders>
              <w:top w:val="single" w:sz="4" w:space="0" w:color="auto"/>
              <w:left w:val="nil"/>
              <w:bottom w:val="single" w:sz="4" w:space="0" w:color="auto"/>
              <w:right w:val="single" w:sz="4" w:space="0" w:color="auto"/>
            </w:tcBorders>
            <w:shd w:val="clear" w:color="auto" w:fill="auto"/>
            <w:noWrap/>
            <w:vAlign w:val="center"/>
          </w:tcPr>
          <w:p w14:paraId="19555214" w14:textId="70B8BA01" w:rsidR="00DF0199" w:rsidRPr="00630F4C" w:rsidRDefault="00BC224D" w:rsidP="00DF0199">
            <w:pPr>
              <w:overflowPunct/>
              <w:autoSpaceDE/>
              <w:autoSpaceDN/>
              <w:adjustRightInd/>
              <w:spacing w:after="0"/>
              <w:jc w:val="right"/>
              <w:textAlignment w:val="auto"/>
              <w:rPr>
                <w:color w:val="000000"/>
                <w:sz w:val="20"/>
                <w:lang w:val="en-GB" w:eastAsia="en-GB"/>
              </w:rPr>
            </w:pPr>
            <w:r>
              <w:rPr>
                <w:color w:val="000000"/>
                <w:sz w:val="20"/>
                <w:lang w:val="en-GB" w:eastAsia="en-GB"/>
              </w:rPr>
              <w:t>24,81</w:t>
            </w:r>
          </w:p>
        </w:tc>
        <w:tc>
          <w:tcPr>
            <w:tcW w:w="912" w:type="dxa"/>
            <w:tcBorders>
              <w:top w:val="single" w:sz="4" w:space="0" w:color="auto"/>
              <w:left w:val="nil"/>
              <w:bottom w:val="single" w:sz="4" w:space="0" w:color="auto"/>
              <w:right w:val="single" w:sz="4" w:space="0" w:color="auto"/>
            </w:tcBorders>
            <w:shd w:val="clear" w:color="auto" w:fill="auto"/>
            <w:noWrap/>
            <w:vAlign w:val="center"/>
            <w:hideMark/>
          </w:tcPr>
          <w:p w14:paraId="793A9683" w14:textId="04253EA2" w:rsidR="00DF0199" w:rsidRPr="00630F4C" w:rsidRDefault="00DF0199" w:rsidP="00DF0199">
            <w:pPr>
              <w:overflowPunct/>
              <w:autoSpaceDE/>
              <w:autoSpaceDN/>
              <w:adjustRightInd/>
              <w:spacing w:after="0"/>
              <w:jc w:val="right"/>
              <w:textAlignment w:val="auto"/>
              <w:rPr>
                <w:color w:val="000000"/>
                <w:sz w:val="20"/>
                <w:lang w:val="en-GB" w:eastAsia="en-GB"/>
              </w:rPr>
            </w:pPr>
            <w:r>
              <w:rPr>
                <w:color w:val="000000"/>
                <w:sz w:val="20"/>
              </w:rPr>
              <w:t>100,00</w:t>
            </w:r>
          </w:p>
        </w:tc>
      </w:tr>
      <w:tr w:rsidR="00DF0199" w:rsidRPr="008E4F3C" w14:paraId="28D23D2F" w14:textId="77777777" w:rsidTr="00BC224D">
        <w:trPr>
          <w:trHeight w:val="420"/>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6DC86883" w14:textId="4D30549C" w:rsidR="00DF0199" w:rsidRPr="00630F4C" w:rsidRDefault="00DF0199" w:rsidP="00DF0199">
            <w:pPr>
              <w:overflowPunct/>
              <w:autoSpaceDE/>
              <w:autoSpaceDN/>
              <w:adjustRightInd/>
              <w:spacing w:after="0"/>
              <w:jc w:val="left"/>
              <w:textAlignment w:val="auto"/>
              <w:rPr>
                <w:b/>
                <w:bCs/>
                <w:sz w:val="18"/>
                <w:szCs w:val="18"/>
                <w:lang w:val="en-GB" w:eastAsia="en-GB"/>
              </w:rPr>
            </w:pPr>
            <w:r w:rsidRPr="00630F4C">
              <w:rPr>
                <w:sz w:val="18"/>
                <w:szCs w:val="18"/>
              </w:rPr>
              <w:t>38</w:t>
            </w:r>
          </w:p>
        </w:tc>
        <w:tc>
          <w:tcPr>
            <w:tcW w:w="2127" w:type="dxa"/>
            <w:tcBorders>
              <w:top w:val="nil"/>
              <w:left w:val="nil"/>
              <w:bottom w:val="single" w:sz="4" w:space="0" w:color="auto"/>
              <w:right w:val="single" w:sz="4" w:space="0" w:color="auto"/>
            </w:tcBorders>
            <w:shd w:val="clear" w:color="auto" w:fill="auto"/>
            <w:vAlign w:val="center"/>
            <w:hideMark/>
          </w:tcPr>
          <w:p w14:paraId="3C5E6213" w14:textId="476DA0CA" w:rsidR="00DF0199" w:rsidRPr="00630F4C" w:rsidRDefault="00DF0199" w:rsidP="00DF0199">
            <w:pPr>
              <w:overflowPunct/>
              <w:autoSpaceDE/>
              <w:autoSpaceDN/>
              <w:adjustRightInd/>
              <w:spacing w:after="0"/>
              <w:jc w:val="left"/>
              <w:textAlignment w:val="auto"/>
              <w:rPr>
                <w:b/>
                <w:bCs/>
                <w:sz w:val="18"/>
                <w:szCs w:val="18"/>
                <w:lang w:val="en-GB" w:eastAsia="en-GB"/>
              </w:rPr>
            </w:pPr>
            <w:r w:rsidRPr="00630F4C">
              <w:rPr>
                <w:sz w:val="18"/>
                <w:szCs w:val="18"/>
              </w:rPr>
              <w:t>Rashodi za donacije, kazne, naknade šteta i kapitalne pomoći</w:t>
            </w:r>
          </w:p>
        </w:tc>
        <w:tc>
          <w:tcPr>
            <w:tcW w:w="1366" w:type="dxa"/>
            <w:tcBorders>
              <w:top w:val="nil"/>
              <w:left w:val="nil"/>
              <w:bottom w:val="single" w:sz="4" w:space="0" w:color="auto"/>
              <w:right w:val="single" w:sz="4" w:space="0" w:color="auto"/>
            </w:tcBorders>
            <w:shd w:val="clear" w:color="auto" w:fill="auto"/>
            <w:noWrap/>
            <w:vAlign w:val="center"/>
            <w:hideMark/>
          </w:tcPr>
          <w:p w14:paraId="0BE54FBE" w14:textId="5A0D5444" w:rsidR="00DF0199" w:rsidRPr="00BC224D" w:rsidRDefault="00DF0199" w:rsidP="00DF0199">
            <w:pPr>
              <w:overflowPunct/>
              <w:autoSpaceDE/>
              <w:autoSpaceDN/>
              <w:adjustRightInd/>
              <w:spacing w:after="0"/>
              <w:jc w:val="right"/>
              <w:textAlignment w:val="auto"/>
              <w:rPr>
                <w:b/>
                <w:bCs/>
                <w:color w:val="000000"/>
                <w:sz w:val="20"/>
                <w:lang w:val="en-GB" w:eastAsia="en-GB"/>
              </w:rPr>
            </w:pPr>
            <w:r w:rsidRPr="00BC224D">
              <w:rPr>
                <w:color w:val="000000"/>
                <w:sz w:val="20"/>
              </w:rPr>
              <w:t>2.864.112,44</w:t>
            </w:r>
          </w:p>
        </w:tc>
        <w:tc>
          <w:tcPr>
            <w:tcW w:w="1401" w:type="dxa"/>
            <w:tcBorders>
              <w:top w:val="nil"/>
              <w:left w:val="nil"/>
              <w:bottom w:val="single" w:sz="4" w:space="0" w:color="auto"/>
              <w:right w:val="single" w:sz="4" w:space="0" w:color="auto"/>
            </w:tcBorders>
            <w:shd w:val="clear" w:color="auto" w:fill="auto"/>
            <w:noWrap/>
            <w:vAlign w:val="center"/>
            <w:hideMark/>
          </w:tcPr>
          <w:p w14:paraId="7730E185" w14:textId="0856E816" w:rsidR="00DF0199" w:rsidRPr="00630F4C" w:rsidRDefault="00DF0199" w:rsidP="00DF0199">
            <w:pPr>
              <w:overflowPunct/>
              <w:autoSpaceDE/>
              <w:autoSpaceDN/>
              <w:adjustRightInd/>
              <w:spacing w:after="0"/>
              <w:jc w:val="right"/>
              <w:textAlignment w:val="auto"/>
              <w:rPr>
                <w:b/>
                <w:bCs/>
                <w:color w:val="000000"/>
                <w:sz w:val="20"/>
                <w:lang w:val="en-GB" w:eastAsia="en-GB"/>
              </w:rPr>
            </w:pPr>
            <w:r>
              <w:rPr>
                <w:color w:val="000000"/>
                <w:sz w:val="20"/>
              </w:rPr>
              <w:t>221.068</w:t>
            </w:r>
          </w:p>
        </w:tc>
        <w:tc>
          <w:tcPr>
            <w:tcW w:w="1366" w:type="dxa"/>
            <w:tcBorders>
              <w:top w:val="nil"/>
              <w:left w:val="nil"/>
              <w:bottom w:val="single" w:sz="4" w:space="0" w:color="auto"/>
              <w:right w:val="single" w:sz="4" w:space="0" w:color="auto"/>
            </w:tcBorders>
            <w:shd w:val="clear" w:color="auto" w:fill="auto"/>
            <w:noWrap/>
            <w:vAlign w:val="center"/>
            <w:hideMark/>
          </w:tcPr>
          <w:p w14:paraId="29489FAF" w14:textId="1AB6ACB0" w:rsidR="00DF0199" w:rsidRPr="00630F4C" w:rsidRDefault="00DF0199" w:rsidP="00DF0199">
            <w:pPr>
              <w:overflowPunct/>
              <w:autoSpaceDE/>
              <w:autoSpaceDN/>
              <w:adjustRightInd/>
              <w:spacing w:after="0"/>
              <w:jc w:val="right"/>
              <w:textAlignment w:val="auto"/>
              <w:rPr>
                <w:b/>
                <w:bCs/>
                <w:color w:val="000000"/>
                <w:sz w:val="20"/>
                <w:lang w:val="en-GB" w:eastAsia="en-GB"/>
              </w:rPr>
            </w:pPr>
            <w:r>
              <w:rPr>
                <w:color w:val="000000"/>
                <w:sz w:val="20"/>
              </w:rPr>
              <w:t>221.068</w:t>
            </w:r>
          </w:p>
        </w:tc>
        <w:tc>
          <w:tcPr>
            <w:tcW w:w="1366" w:type="dxa"/>
            <w:tcBorders>
              <w:top w:val="nil"/>
              <w:left w:val="nil"/>
              <w:bottom w:val="single" w:sz="4" w:space="0" w:color="auto"/>
              <w:right w:val="single" w:sz="4" w:space="0" w:color="auto"/>
            </w:tcBorders>
            <w:shd w:val="clear" w:color="auto" w:fill="auto"/>
            <w:noWrap/>
            <w:vAlign w:val="center"/>
            <w:hideMark/>
          </w:tcPr>
          <w:p w14:paraId="6222B37F" w14:textId="1DEA797E" w:rsidR="00DF0199" w:rsidRPr="00630F4C" w:rsidRDefault="00DF0199" w:rsidP="00DF0199">
            <w:pPr>
              <w:overflowPunct/>
              <w:autoSpaceDE/>
              <w:autoSpaceDN/>
              <w:adjustRightInd/>
              <w:spacing w:after="0"/>
              <w:jc w:val="right"/>
              <w:textAlignment w:val="auto"/>
              <w:rPr>
                <w:b/>
                <w:bCs/>
                <w:color w:val="000000"/>
                <w:sz w:val="20"/>
                <w:lang w:val="en-GB" w:eastAsia="en-GB"/>
              </w:rPr>
            </w:pPr>
            <w:r>
              <w:rPr>
                <w:color w:val="000000"/>
                <w:sz w:val="20"/>
              </w:rPr>
              <w:t>221.067,75</w:t>
            </w:r>
          </w:p>
        </w:tc>
        <w:tc>
          <w:tcPr>
            <w:tcW w:w="912" w:type="dxa"/>
            <w:tcBorders>
              <w:top w:val="nil"/>
              <w:left w:val="nil"/>
              <w:bottom w:val="single" w:sz="4" w:space="0" w:color="auto"/>
              <w:right w:val="single" w:sz="4" w:space="0" w:color="auto"/>
            </w:tcBorders>
            <w:shd w:val="clear" w:color="auto" w:fill="auto"/>
            <w:noWrap/>
            <w:vAlign w:val="center"/>
          </w:tcPr>
          <w:p w14:paraId="684CEE72" w14:textId="12BA385D" w:rsidR="00DF0199" w:rsidRPr="00630F4C" w:rsidRDefault="00BC224D" w:rsidP="00DF0199">
            <w:pPr>
              <w:overflowPunct/>
              <w:autoSpaceDE/>
              <w:autoSpaceDN/>
              <w:adjustRightInd/>
              <w:spacing w:after="0"/>
              <w:jc w:val="right"/>
              <w:textAlignment w:val="auto"/>
              <w:rPr>
                <w:b/>
                <w:bCs/>
                <w:color w:val="000000"/>
                <w:sz w:val="20"/>
                <w:lang w:val="en-GB" w:eastAsia="en-GB"/>
              </w:rPr>
            </w:pPr>
            <w:r>
              <w:rPr>
                <w:b/>
                <w:bCs/>
                <w:color w:val="000000"/>
                <w:sz w:val="20"/>
                <w:lang w:val="en-GB" w:eastAsia="en-GB"/>
              </w:rPr>
              <w:t>7,72</w:t>
            </w:r>
          </w:p>
        </w:tc>
        <w:tc>
          <w:tcPr>
            <w:tcW w:w="912" w:type="dxa"/>
            <w:tcBorders>
              <w:top w:val="nil"/>
              <w:left w:val="nil"/>
              <w:bottom w:val="single" w:sz="4" w:space="0" w:color="auto"/>
              <w:right w:val="single" w:sz="4" w:space="0" w:color="auto"/>
            </w:tcBorders>
            <w:shd w:val="clear" w:color="auto" w:fill="auto"/>
            <w:noWrap/>
            <w:vAlign w:val="center"/>
            <w:hideMark/>
          </w:tcPr>
          <w:p w14:paraId="6A64670D" w14:textId="21F4BD44" w:rsidR="00DF0199" w:rsidRPr="00630F4C" w:rsidRDefault="00DF0199" w:rsidP="00DF0199">
            <w:pPr>
              <w:overflowPunct/>
              <w:autoSpaceDE/>
              <w:autoSpaceDN/>
              <w:adjustRightInd/>
              <w:spacing w:after="0"/>
              <w:jc w:val="right"/>
              <w:textAlignment w:val="auto"/>
              <w:rPr>
                <w:b/>
                <w:bCs/>
                <w:color w:val="000000"/>
                <w:sz w:val="20"/>
                <w:lang w:val="en-GB" w:eastAsia="en-GB"/>
              </w:rPr>
            </w:pPr>
            <w:r>
              <w:rPr>
                <w:color w:val="000000"/>
                <w:sz w:val="20"/>
              </w:rPr>
              <w:t>100,00</w:t>
            </w:r>
          </w:p>
        </w:tc>
      </w:tr>
      <w:tr w:rsidR="00DF0199" w:rsidRPr="008E4F3C" w14:paraId="60772768" w14:textId="77777777" w:rsidTr="00BC224D">
        <w:trPr>
          <w:trHeight w:val="300"/>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4D24C248" w14:textId="653B023C" w:rsidR="00DF0199" w:rsidRPr="00630F4C" w:rsidRDefault="00DF0199" w:rsidP="00DF0199">
            <w:pPr>
              <w:overflowPunct/>
              <w:autoSpaceDE/>
              <w:autoSpaceDN/>
              <w:adjustRightInd/>
              <w:spacing w:after="0"/>
              <w:jc w:val="left"/>
              <w:textAlignment w:val="auto"/>
              <w:rPr>
                <w:sz w:val="18"/>
                <w:szCs w:val="18"/>
                <w:lang w:val="en-GB" w:eastAsia="en-GB"/>
              </w:rPr>
            </w:pPr>
            <w:r w:rsidRPr="00630F4C">
              <w:rPr>
                <w:b/>
                <w:bCs/>
                <w:sz w:val="18"/>
                <w:szCs w:val="18"/>
              </w:rPr>
              <w:t>4</w:t>
            </w:r>
          </w:p>
        </w:tc>
        <w:tc>
          <w:tcPr>
            <w:tcW w:w="2127" w:type="dxa"/>
            <w:tcBorders>
              <w:top w:val="nil"/>
              <w:left w:val="nil"/>
              <w:bottom w:val="single" w:sz="4" w:space="0" w:color="auto"/>
              <w:right w:val="single" w:sz="4" w:space="0" w:color="auto"/>
            </w:tcBorders>
            <w:shd w:val="clear" w:color="auto" w:fill="auto"/>
            <w:vAlign w:val="center"/>
            <w:hideMark/>
          </w:tcPr>
          <w:p w14:paraId="163E2D82" w14:textId="1120A1D9" w:rsidR="00DF0199" w:rsidRPr="00630F4C" w:rsidRDefault="00DF0199" w:rsidP="00DF0199">
            <w:pPr>
              <w:overflowPunct/>
              <w:autoSpaceDE/>
              <w:autoSpaceDN/>
              <w:adjustRightInd/>
              <w:spacing w:after="0"/>
              <w:jc w:val="left"/>
              <w:textAlignment w:val="auto"/>
              <w:rPr>
                <w:sz w:val="18"/>
                <w:szCs w:val="18"/>
                <w:lang w:val="en-GB" w:eastAsia="en-GB"/>
              </w:rPr>
            </w:pPr>
            <w:r w:rsidRPr="00630F4C">
              <w:rPr>
                <w:b/>
                <w:bCs/>
                <w:sz w:val="18"/>
                <w:szCs w:val="18"/>
              </w:rPr>
              <w:t>Rashodi za nabavu nefinancijske imovine</w:t>
            </w:r>
          </w:p>
        </w:tc>
        <w:tc>
          <w:tcPr>
            <w:tcW w:w="1366" w:type="dxa"/>
            <w:tcBorders>
              <w:top w:val="nil"/>
              <w:left w:val="nil"/>
              <w:bottom w:val="single" w:sz="4" w:space="0" w:color="auto"/>
              <w:right w:val="single" w:sz="4" w:space="0" w:color="auto"/>
            </w:tcBorders>
            <w:shd w:val="clear" w:color="auto" w:fill="auto"/>
            <w:noWrap/>
            <w:vAlign w:val="center"/>
            <w:hideMark/>
          </w:tcPr>
          <w:p w14:paraId="6A649689" w14:textId="0584C2B8" w:rsidR="00DF0199" w:rsidRPr="00BC224D" w:rsidRDefault="00BC224D" w:rsidP="00DF0199">
            <w:pPr>
              <w:overflowPunct/>
              <w:autoSpaceDE/>
              <w:autoSpaceDN/>
              <w:adjustRightInd/>
              <w:spacing w:after="0"/>
              <w:jc w:val="right"/>
              <w:textAlignment w:val="auto"/>
              <w:rPr>
                <w:color w:val="000000"/>
                <w:sz w:val="20"/>
                <w:lang w:val="en-GB" w:eastAsia="en-GB"/>
              </w:rPr>
            </w:pPr>
            <w:r w:rsidRPr="00BC224D">
              <w:rPr>
                <w:b/>
                <w:bCs/>
                <w:color w:val="000000"/>
                <w:sz w:val="20"/>
              </w:rPr>
              <w:t>30.793,93</w:t>
            </w:r>
          </w:p>
        </w:tc>
        <w:tc>
          <w:tcPr>
            <w:tcW w:w="1401" w:type="dxa"/>
            <w:tcBorders>
              <w:top w:val="nil"/>
              <w:left w:val="nil"/>
              <w:bottom w:val="single" w:sz="4" w:space="0" w:color="auto"/>
              <w:right w:val="single" w:sz="4" w:space="0" w:color="auto"/>
            </w:tcBorders>
            <w:shd w:val="clear" w:color="auto" w:fill="auto"/>
            <w:noWrap/>
            <w:vAlign w:val="center"/>
            <w:hideMark/>
          </w:tcPr>
          <w:p w14:paraId="2FEFFC75" w14:textId="4DFB6385" w:rsidR="00DF0199" w:rsidRPr="00630F4C" w:rsidRDefault="00DF0199" w:rsidP="00DF0199">
            <w:pPr>
              <w:overflowPunct/>
              <w:autoSpaceDE/>
              <w:autoSpaceDN/>
              <w:adjustRightInd/>
              <w:spacing w:after="0"/>
              <w:jc w:val="right"/>
              <w:textAlignment w:val="auto"/>
              <w:rPr>
                <w:color w:val="000000"/>
                <w:sz w:val="20"/>
                <w:lang w:val="en-GB" w:eastAsia="en-GB"/>
              </w:rPr>
            </w:pPr>
            <w:r>
              <w:rPr>
                <w:b/>
                <w:bCs/>
                <w:color w:val="000000"/>
                <w:sz w:val="20"/>
              </w:rPr>
              <w:t>110.650</w:t>
            </w:r>
          </w:p>
        </w:tc>
        <w:tc>
          <w:tcPr>
            <w:tcW w:w="1366" w:type="dxa"/>
            <w:tcBorders>
              <w:top w:val="nil"/>
              <w:left w:val="nil"/>
              <w:bottom w:val="single" w:sz="4" w:space="0" w:color="auto"/>
              <w:right w:val="single" w:sz="4" w:space="0" w:color="auto"/>
            </w:tcBorders>
            <w:shd w:val="clear" w:color="auto" w:fill="auto"/>
            <w:noWrap/>
            <w:vAlign w:val="center"/>
            <w:hideMark/>
          </w:tcPr>
          <w:p w14:paraId="24B4E38E" w14:textId="701680D7" w:rsidR="00DF0199" w:rsidRPr="00630F4C" w:rsidRDefault="00DF0199" w:rsidP="00DF0199">
            <w:pPr>
              <w:overflowPunct/>
              <w:autoSpaceDE/>
              <w:autoSpaceDN/>
              <w:adjustRightInd/>
              <w:spacing w:after="0"/>
              <w:jc w:val="right"/>
              <w:textAlignment w:val="auto"/>
              <w:rPr>
                <w:color w:val="000000"/>
                <w:sz w:val="20"/>
                <w:lang w:val="en-GB" w:eastAsia="en-GB"/>
              </w:rPr>
            </w:pPr>
            <w:r>
              <w:rPr>
                <w:b/>
                <w:bCs/>
                <w:color w:val="000000"/>
                <w:sz w:val="20"/>
              </w:rPr>
              <w:t>110.650</w:t>
            </w:r>
          </w:p>
        </w:tc>
        <w:tc>
          <w:tcPr>
            <w:tcW w:w="1366" w:type="dxa"/>
            <w:tcBorders>
              <w:top w:val="nil"/>
              <w:left w:val="nil"/>
              <w:bottom w:val="single" w:sz="4" w:space="0" w:color="auto"/>
              <w:right w:val="single" w:sz="4" w:space="0" w:color="auto"/>
            </w:tcBorders>
            <w:shd w:val="clear" w:color="auto" w:fill="auto"/>
            <w:noWrap/>
            <w:vAlign w:val="center"/>
            <w:hideMark/>
          </w:tcPr>
          <w:p w14:paraId="4A8A8A43" w14:textId="0833BCD7" w:rsidR="00DF0199" w:rsidRPr="00630F4C" w:rsidRDefault="00DF0199" w:rsidP="00DF0199">
            <w:pPr>
              <w:overflowPunct/>
              <w:autoSpaceDE/>
              <w:autoSpaceDN/>
              <w:adjustRightInd/>
              <w:spacing w:after="0"/>
              <w:jc w:val="right"/>
              <w:textAlignment w:val="auto"/>
              <w:rPr>
                <w:color w:val="000000"/>
                <w:sz w:val="20"/>
                <w:lang w:val="en-GB" w:eastAsia="en-GB"/>
              </w:rPr>
            </w:pPr>
            <w:r>
              <w:rPr>
                <w:b/>
                <w:bCs/>
                <w:color w:val="000000"/>
                <w:sz w:val="20"/>
              </w:rPr>
              <w:t>70.997,35</w:t>
            </w:r>
          </w:p>
        </w:tc>
        <w:tc>
          <w:tcPr>
            <w:tcW w:w="912" w:type="dxa"/>
            <w:tcBorders>
              <w:top w:val="nil"/>
              <w:left w:val="nil"/>
              <w:bottom w:val="single" w:sz="4" w:space="0" w:color="auto"/>
              <w:right w:val="single" w:sz="4" w:space="0" w:color="auto"/>
            </w:tcBorders>
            <w:shd w:val="clear" w:color="auto" w:fill="auto"/>
            <w:noWrap/>
            <w:vAlign w:val="center"/>
          </w:tcPr>
          <w:p w14:paraId="3FE717B6" w14:textId="72FD4FC1" w:rsidR="00DF0199" w:rsidRPr="00630F4C" w:rsidRDefault="00BC224D" w:rsidP="00DF0199">
            <w:pPr>
              <w:overflowPunct/>
              <w:autoSpaceDE/>
              <w:autoSpaceDN/>
              <w:adjustRightInd/>
              <w:spacing w:after="0"/>
              <w:jc w:val="right"/>
              <w:textAlignment w:val="auto"/>
              <w:rPr>
                <w:color w:val="000000"/>
                <w:sz w:val="20"/>
                <w:lang w:val="en-GB" w:eastAsia="en-GB"/>
              </w:rPr>
            </w:pPr>
            <w:r>
              <w:rPr>
                <w:color w:val="000000"/>
                <w:sz w:val="20"/>
                <w:lang w:val="en-GB" w:eastAsia="en-GB"/>
              </w:rPr>
              <w:t>230,56</w:t>
            </w:r>
          </w:p>
        </w:tc>
        <w:tc>
          <w:tcPr>
            <w:tcW w:w="912" w:type="dxa"/>
            <w:tcBorders>
              <w:top w:val="nil"/>
              <w:left w:val="nil"/>
              <w:bottom w:val="single" w:sz="4" w:space="0" w:color="auto"/>
              <w:right w:val="single" w:sz="4" w:space="0" w:color="auto"/>
            </w:tcBorders>
            <w:shd w:val="clear" w:color="auto" w:fill="auto"/>
            <w:noWrap/>
            <w:vAlign w:val="center"/>
            <w:hideMark/>
          </w:tcPr>
          <w:p w14:paraId="1F85861F" w14:textId="1EE94E9D" w:rsidR="00DF0199" w:rsidRPr="00630F4C" w:rsidRDefault="00DF0199" w:rsidP="00DF0199">
            <w:pPr>
              <w:overflowPunct/>
              <w:autoSpaceDE/>
              <w:autoSpaceDN/>
              <w:adjustRightInd/>
              <w:spacing w:after="0"/>
              <w:jc w:val="right"/>
              <w:textAlignment w:val="auto"/>
              <w:rPr>
                <w:color w:val="000000"/>
                <w:sz w:val="20"/>
                <w:lang w:val="en-GB" w:eastAsia="en-GB"/>
              </w:rPr>
            </w:pPr>
            <w:r>
              <w:rPr>
                <w:b/>
                <w:bCs/>
                <w:color w:val="000000"/>
                <w:sz w:val="20"/>
              </w:rPr>
              <w:t>64,16</w:t>
            </w:r>
          </w:p>
        </w:tc>
      </w:tr>
      <w:tr w:rsidR="00DF0199" w:rsidRPr="008E4F3C" w14:paraId="685320AF" w14:textId="77777777" w:rsidTr="00BC224D">
        <w:trPr>
          <w:trHeight w:val="675"/>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2F99F2" w14:textId="3C00528A" w:rsidR="00DF0199" w:rsidRPr="00630F4C" w:rsidRDefault="00DF0199" w:rsidP="00DF0199">
            <w:pPr>
              <w:overflowPunct/>
              <w:autoSpaceDE/>
              <w:autoSpaceDN/>
              <w:adjustRightInd/>
              <w:spacing w:after="0"/>
              <w:jc w:val="left"/>
              <w:textAlignment w:val="auto"/>
              <w:rPr>
                <w:sz w:val="18"/>
                <w:szCs w:val="18"/>
                <w:lang w:val="en-GB" w:eastAsia="en-GB"/>
              </w:rPr>
            </w:pPr>
            <w:r w:rsidRPr="00630F4C">
              <w:rPr>
                <w:sz w:val="18"/>
                <w:szCs w:val="18"/>
              </w:rPr>
              <w:t>42</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31B898" w14:textId="58A7D100" w:rsidR="00DF0199" w:rsidRPr="00630F4C" w:rsidRDefault="00DF0199" w:rsidP="00DF0199">
            <w:pPr>
              <w:overflowPunct/>
              <w:autoSpaceDE/>
              <w:autoSpaceDN/>
              <w:adjustRightInd/>
              <w:spacing w:after="0"/>
              <w:jc w:val="left"/>
              <w:textAlignment w:val="auto"/>
              <w:rPr>
                <w:sz w:val="18"/>
                <w:szCs w:val="18"/>
                <w:lang w:val="en-GB" w:eastAsia="en-GB"/>
              </w:rPr>
            </w:pPr>
            <w:r w:rsidRPr="00630F4C">
              <w:rPr>
                <w:sz w:val="18"/>
                <w:szCs w:val="18"/>
              </w:rPr>
              <w:t>Rashodi za nabavu proizvedene dugotrajne imovine</w:t>
            </w:r>
          </w:p>
        </w:tc>
        <w:tc>
          <w:tcPr>
            <w:tcW w:w="13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839DB3" w14:textId="3AAE9E6B" w:rsidR="00DF0199" w:rsidRPr="00BC224D" w:rsidRDefault="00BC224D" w:rsidP="00DF0199">
            <w:pPr>
              <w:overflowPunct/>
              <w:autoSpaceDE/>
              <w:autoSpaceDN/>
              <w:adjustRightInd/>
              <w:spacing w:after="0"/>
              <w:jc w:val="right"/>
              <w:textAlignment w:val="auto"/>
              <w:rPr>
                <w:color w:val="000000"/>
                <w:sz w:val="20"/>
                <w:lang w:val="en-GB" w:eastAsia="en-GB"/>
              </w:rPr>
            </w:pPr>
            <w:r w:rsidRPr="00BC224D">
              <w:rPr>
                <w:color w:val="000000"/>
                <w:sz w:val="20"/>
              </w:rPr>
              <w:t>30.793,93</w:t>
            </w: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45A6E1" w14:textId="42DA6265" w:rsidR="00DF0199" w:rsidRPr="00630F4C" w:rsidRDefault="00DF0199" w:rsidP="00DF0199">
            <w:pPr>
              <w:overflowPunct/>
              <w:autoSpaceDE/>
              <w:autoSpaceDN/>
              <w:adjustRightInd/>
              <w:spacing w:after="0"/>
              <w:jc w:val="right"/>
              <w:textAlignment w:val="auto"/>
              <w:rPr>
                <w:color w:val="000000"/>
                <w:sz w:val="20"/>
                <w:lang w:val="en-GB" w:eastAsia="en-GB"/>
              </w:rPr>
            </w:pPr>
            <w:r>
              <w:rPr>
                <w:color w:val="000000"/>
                <w:sz w:val="20"/>
              </w:rPr>
              <w:t>110.650</w:t>
            </w:r>
          </w:p>
        </w:tc>
        <w:tc>
          <w:tcPr>
            <w:tcW w:w="13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1FF12F" w14:textId="4D6E128D" w:rsidR="00DF0199" w:rsidRPr="00630F4C" w:rsidRDefault="00DF0199" w:rsidP="00DF0199">
            <w:pPr>
              <w:overflowPunct/>
              <w:autoSpaceDE/>
              <w:autoSpaceDN/>
              <w:adjustRightInd/>
              <w:spacing w:after="0"/>
              <w:jc w:val="right"/>
              <w:textAlignment w:val="auto"/>
              <w:rPr>
                <w:color w:val="000000"/>
                <w:sz w:val="20"/>
                <w:lang w:val="en-GB" w:eastAsia="en-GB"/>
              </w:rPr>
            </w:pPr>
            <w:r>
              <w:rPr>
                <w:color w:val="000000"/>
                <w:sz w:val="20"/>
              </w:rPr>
              <w:t>110.650</w:t>
            </w:r>
          </w:p>
        </w:tc>
        <w:tc>
          <w:tcPr>
            <w:tcW w:w="13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748433" w14:textId="3596709B" w:rsidR="00DF0199" w:rsidRPr="00630F4C" w:rsidRDefault="00DF0199" w:rsidP="00DF0199">
            <w:pPr>
              <w:overflowPunct/>
              <w:autoSpaceDE/>
              <w:autoSpaceDN/>
              <w:adjustRightInd/>
              <w:spacing w:after="0"/>
              <w:jc w:val="right"/>
              <w:textAlignment w:val="auto"/>
              <w:rPr>
                <w:color w:val="000000"/>
                <w:sz w:val="20"/>
                <w:lang w:val="en-GB" w:eastAsia="en-GB"/>
              </w:rPr>
            </w:pPr>
            <w:r>
              <w:rPr>
                <w:color w:val="000000"/>
                <w:sz w:val="20"/>
              </w:rPr>
              <w:t>70.997,35</w:t>
            </w:r>
          </w:p>
        </w:tc>
        <w:tc>
          <w:tcPr>
            <w:tcW w:w="9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005032" w14:textId="2342251F" w:rsidR="00DF0199" w:rsidRPr="00630F4C" w:rsidRDefault="00BC224D" w:rsidP="00DF0199">
            <w:pPr>
              <w:overflowPunct/>
              <w:autoSpaceDE/>
              <w:autoSpaceDN/>
              <w:adjustRightInd/>
              <w:spacing w:after="0"/>
              <w:jc w:val="right"/>
              <w:textAlignment w:val="auto"/>
              <w:rPr>
                <w:color w:val="000000"/>
                <w:sz w:val="20"/>
                <w:lang w:val="en-GB" w:eastAsia="en-GB"/>
              </w:rPr>
            </w:pPr>
            <w:r>
              <w:rPr>
                <w:color w:val="000000"/>
                <w:sz w:val="20"/>
                <w:lang w:val="en-GB" w:eastAsia="en-GB"/>
              </w:rPr>
              <w:t>230,56</w:t>
            </w:r>
          </w:p>
        </w:tc>
        <w:tc>
          <w:tcPr>
            <w:tcW w:w="9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118CCC" w14:textId="32D084A8" w:rsidR="00DF0199" w:rsidRPr="00630F4C" w:rsidRDefault="00DF0199" w:rsidP="00DF0199">
            <w:pPr>
              <w:overflowPunct/>
              <w:autoSpaceDE/>
              <w:autoSpaceDN/>
              <w:adjustRightInd/>
              <w:spacing w:after="0"/>
              <w:jc w:val="right"/>
              <w:textAlignment w:val="auto"/>
              <w:rPr>
                <w:color w:val="000000"/>
                <w:sz w:val="20"/>
                <w:lang w:val="en-GB" w:eastAsia="en-GB"/>
              </w:rPr>
            </w:pPr>
            <w:r>
              <w:rPr>
                <w:color w:val="000000"/>
                <w:sz w:val="20"/>
              </w:rPr>
              <w:t>64,16</w:t>
            </w:r>
          </w:p>
        </w:tc>
      </w:tr>
    </w:tbl>
    <w:p w14:paraId="50ACF58B" w14:textId="4E2C29C7" w:rsidR="00B62488" w:rsidRDefault="00B62488" w:rsidP="004C2F1B">
      <w:pPr>
        <w:rPr>
          <w:sz w:val="24"/>
          <w:szCs w:val="24"/>
        </w:rPr>
      </w:pPr>
    </w:p>
    <w:p w14:paraId="73C097A6" w14:textId="18FD0BF7" w:rsidR="004C2F1B" w:rsidRDefault="002D57BB" w:rsidP="004C2F1B">
      <w:pPr>
        <w:rPr>
          <w:sz w:val="24"/>
          <w:szCs w:val="24"/>
        </w:rPr>
      </w:pPr>
      <w:r>
        <w:rPr>
          <w:sz w:val="24"/>
          <w:szCs w:val="24"/>
        </w:rPr>
        <w:lastRenderedPageBreak/>
        <w:t>R</w:t>
      </w:r>
      <w:r w:rsidR="004C2F1B" w:rsidRPr="00736AE7">
        <w:rPr>
          <w:sz w:val="24"/>
          <w:szCs w:val="24"/>
        </w:rPr>
        <w:t xml:space="preserve">ashodi </w:t>
      </w:r>
      <w:r w:rsidR="001C5A11">
        <w:rPr>
          <w:sz w:val="24"/>
          <w:szCs w:val="24"/>
        </w:rPr>
        <w:t>i</w:t>
      </w:r>
      <w:r w:rsidR="004C2F1B" w:rsidRPr="00736AE7">
        <w:rPr>
          <w:sz w:val="24"/>
          <w:szCs w:val="24"/>
        </w:rPr>
        <w:t xml:space="preserve"> izdaci </w:t>
      </w:r>
      <w:r w:rsidR="001C5A11">
        <w:rPr>
          <w:sz w:val="24"/>
          <w:szCs w:val="24"/>
        </w:rPr>
        <w:t xml:space="preserve">ostvareni </w:t>
      </w:r>
      <w:r w:rsidRPr="00736AE7">
        <w:rPr>
          <w:sz w:val="24"/>
          <w:szCs w:val="24"/>
        </w:rPr>
        <w:t>su</w:t>
      </w:r>
      <w:r>
        <w:rPr>
          <w:sz w:val="24"/>
          <w:szCs w:val="24"/>
        </w:rPr>
        <w:t xml:space="preserve"> </w:t>
      </w:r>
      <w:r w:rsidR="001C5A11">
        <w:rPr>
          <w:sz w:val="24"/>
          <w:szCs w:val="24"/>
        </w:rPr>
        <w:t xml:space="preserve">u iznosu od 13.578.987,86 eura te su </w:t>
      </w:r>
      <w:r w:rsidR="004C2F1B" w:rsidRPr="00736AE7">
        <w:rPr>
          <w:sz w:val="24"/>
          <w:szCs w:val="24"/>
        </w:rPr>
        <w:t xml:space="preserve">u odnosu na </w:t>
      </w:r>
      <w:r w:rsidR="004735B1">
        <w:rPr>
          <w:sz w:val="24"/>
          <w:szCs w:val="24"/>
        </w:rPr>
        <w:t xml:space="preserve">isto razdoblje </w:t>
      </w:r>
      <w:r w:rsidR="004C2F1B" w:rsidRPr="00736AE7">
        <w:rPr>
          <w:sz w:val="24"/>
          <w:szCs w:val="24"/>
        </w:rPr>
        <w:t>prethodn</w:t>
      </w:r>
      <w:r w:rsidR="004735B1">
        <w:rPr>
          <w:sz w:val="24"/>
          <w:szCs w:val="24"/>
        </w:rPr>
        <w:t>e</w:t>
      </w:r>
      <w:r w:rsidR="004C2F1B" w:rsidRPr="00736AE7">
        <w:rPr>
          <w:sz w:val="24"/>
          <w:szCs w:val="24"/>
        </w:rPr>
        <w:t xml:space="preserve"> godin</w:t>
      </w:r>
      <w:r w:rsidR="004735B1">
        <w:rPr>
          <w:sz w:val="24"/>
          <w:szCs w:val="24"/>
        </w:rPr>
        <w:t>e</w:t>
      </w:r>
      <w:r w:rsidR="004C2F1B" w:rsidRPr="00736AE7">
        <w:rPr>
          <w:sz w:val="24"/>
          <w:szCs w:val="24"/>
        </w:rPr>
        <w:t xml:space="preserve"> višestruko </w:t>
      </w:r>
      <w:r w:rsidR="001C5A11">
        <w:rPr>
          <w:sz w:val="24"/>
          <w:szCs w:val="24"/>
        </w:rPr>
        <w:t>smanjeni</w:t>
      </w:r>
      <w:r w:rsidR="004C2F1B" w:rsidRPr="00736AE7">
        <w:rPr>
          <w:sz w:val="24"/>
          <w:szCs w:val="24"/>
        </w:rPr>
        <w:t xml:space="preserve">. </w:t>
      </w:r>
      <w:r w:rsidR="00D73289" w:rsidRPr="00736AE7">
        <w:rPr>
          <w:sz w:val="24"/>
          <w:szCs w:val="24"/>
        </w:rPr>
        <w:t>Najznačajn</w:t>
      </w:r>
      <w:r w:rsidR="001C5A11">
        <w:rPr>
          <w:sz w:val="24"/>
          <w:szCs w:val="24"/>
        </w:rPr>
        <w:t>e</w:t>
      </w:r>
      <w:r w:rsidR="00D73289" w:rsidRPr="00736AE7">
        <w:rPr>
          <w:sz w:val="24"/>
          <w:szCs w:val="24"/>
        </w:rPr>
        <w:t xml:space="preserve"> </w:t>
      </w:r>
      <w:r w:rsidR="001C5A11">
        <w:rPr>
          <w:sz w:val="24"/>
          <w:szCs w:val="24"/>
        </w:rPr>
        <w:t>smanjenje</w:t>
      </w:r>
      <w:r w:rsidR="00D73289" w:rsidRPr="00736AE7">
        <w:rPr>
          <w:sz w:val="24"/>
          <w:szCs w:val="24"/>
        </w:rPr>
        <w:t xml:space="preserve"> </w:t>
      </w:r>
      <w:r w:rsidR="001C5A11">
        <w:rPr>
          <w:sz w:val="24"/>
          <w:szCs w:val="24"/>
        </w:rPr>
        <w:t>odnosi se na rashode</w:t>
      </w:r>
      <w:r w:rsidR="00736AE7" w:rsidRPr="00736AE7">
        <w:rPr>
          <w:sz w:val="24"/>
          <w:szCs w:val="24"/>
        </w:rPr>
        <w:t xml:space="preserve"> povezane</w:t>
      </w:r>
      <w:r w:rsidR="00D73289" w:rsidRPr="00736AE7">
        <w:rPr>
          <w:sz w:val="24"/>
          <w:szCs w:val="24"/>
        </w:rPr>
        <w:t xml:space="preserve"> sa </w:t>
      </w:r>
      <w:r w:rsidR="00736AE7" w:rsidRPr="00736AE7">
        <w:rPr>
          <w:sz w:val="24"/>
          <w:szCs w:val="24"/>
        </w:rPr>
        <w:t>provedbom izborne</w:t>
      </w:r>
      <w:r w:rsidR="00D73289" w:rsidRPr="00736AE7">
        <w:rPr>
          <w:sz w:val="24"/>
          <w:szCs w:val="24"/>
        </w:rPr>
        <w:t xml:space="preserve"> aktivnosti Državnog izborno</w:t>
      </w:r>
      <w:r w:rsidR="00485303" w:rsidRPr="00736AE7">
        <w:rPr>
          <w:sz w:val="24"/>
          <w:szCs w:val="24"/>
        </w:rPr>
        <w:t>g</w:t>
      </w:r>
      <w:r w:rsidR="00D73289" w:rsidRPr="00736AE7">
        <w:rPr>
          <w:sz w:val="24"/>
          <w:szCs w:val="24"/>
        </w:rPr>
        <w:t xml:space="preserve"> </w:t>
      </w:r>
      <w:r w:rsidR="00485303" w:rsidRPr="00736AE7">
        <w:rPr>
          <w:sz w:val="24"/>
          <w:szCs w:val="24"/>
        </w:rPr>
        <w:t xml:space="preserve">povjerenstva. </w:t>
      </w:r>
      <w:r w:rsidR="004C2F1B" w:rsidRPr="00736AE7">
        <w:rPr>
          <w:sz w:val="24"/>
          <w:szCs w:val="24"/>
        </w:rPr>
        <w:t>Do takvog znatnog odstupanja došlo</w:t>
      </w:r>
      <w:r w:rsidR="00485303" w:rsidRPr="00736AE7">
        <w:rPr>
          <w:sz w:val="24"/>
          <w:szCs w:val="24"/>
        </w:rPr>
        <w:t xml:space="preserve"> je</w:t>
      </w:r>
      <w:r w:rsidR="004C2F1B" w:rsidRPr="00736AE7">
        <w:rPr>
          <w:sz w:val="24"/>
          <w:szCs w:val="24"/>
        </w:rPr>
        <w:t xml:space="preserve"> zbog održavanja većeg broja izbora na državnoj razini u 2024</w:t>
      </w:r>
      <w:r w:rsidR="00C61F2D">
        <w:rPr>
          <w:sz w:val="24"/>
          <w:szCs w:val="24"/>
        </w:rPr>
        <w:t>.</w:t>
      </w:r>
      <w:r w:rsidR="001C5A11">
        <w:rPr>
          <w:sz w:val="24"/>
          <w:szCs w:val="24"/>
        </w:rPr>
        <w:t xml:space="preserve"> </w:t>
      </w:r>
      <w:r w:rsidR="004C2F1B" w:rsidRPr="00736AE7">
        <w:rPr>
          <w:sz w:val="24"/>
          <w:szCs w:val="24"/>
        </w:rPr>
        <w:t>i to: izbora zastupnika u Hrvatski sabor, izbora članova u Europski parlament iz Republike Hrvatske te izbora za predsjednika Republike Hrvatske (I. k</w:t>
      </w:r>
      <w:r w:rsidR="001C5A11">
        <w:rPr>
          <w:sz w:val="24"/>
          <w:szCs w:val="24"/>
        </w:rPr>
        <w:t>rug), dok je</w:t>
      </w:r>
      <w:r w:rsidR="004C2F1B" w:rsidRPr="00736AE7">
        <w:rPr>
          <w:sz w:val="24"/>
          <w:szCs w:val="24"/>
        </w:rPr>
        <w:t xml:space="preserve"> u 202</w:t>
      </w:r>
      <w:r w:rsidR="001C5A11">
        <w:rPr>
          <w:sz w:val="24"/>
          <w:szCs w:val="24"/>
        </w:rPr>
        <w:t>5. održan</w:t>
      </w:r>
      <w:r w:rsidR="004C2F1B" w:rsidRPr="00736AE7">
        <w:rPr>
          <w:sz w:val="24"/>
          <w:szCs w:val="24"/>
        </w:rPr>
        <w:t xml:space="preserve"> </w:t>
      </w:r>
      <w:r w:rsidR="001C5A11" w:rsidRPr="00E153D3">
        <w:rPr>
          <w:sz w:val="24"/>
          <w:szCs w:val="24"/>
        </w:rPr>
        <w:t>II. krug izbora za predsjednika Republike Hrvatske</w:t>
      </w:r>
      <w:r>
        <w:rPr>
          <w:sz w:val="24"/>
          <w:szCs w:val="24"/>
        </w:rPr>
        <w:t xml:space="preserve">. Tijekom 2025. održani su </w:t>
      </w:r>
      <w:r w:rsidR="001C5A11">
        <w:rPr>
          <w:sz w:val="24"/>
          <w:szCs w:val="24"/>
        </w:rPr>
        <w:t>lokalni izbori</w:t>
      </w:r>
      <w:r w:rsidR="007B6256">
        <w:rPr>
          <w:sz w:val="24"/>
          <w:szCs w:val="24"/>
        </w:rPr>
        <w:t>, dopuns</w:t>
      </w:r>
      <w:r>
        <w:rPr>
          <w:sz w:val="24"/>
          <w:szCs w:val="24"/>
        </w:rPr>
        <w:t>ki izbori te prijevremeni lokalni izbori.</w:t>
      </w:r>
      <w:r w:rsidR="001C5A11">
        <w:rPr>
          <w:sz w:val="24"/>
          <w:szCs w:val="24"/>
        </w:rPr>
        <w:t xml:space="preserve"> </w:t>
      </w:r>
    </w:p>
    <w:p w14:paraId="3E86C300" w14:textId="729466BA" w:rsidR="004C2F1B" w:rsidRDefault="004C2F1B" w:rsidP="004C2F1B">
      <w:pPr>
        <w:rPr>
          <w:sz w:val="24"/>
          <w:szCs w:val="24"/>
        </w:rPr>
      </w:pPr>
      <w:r>
        <w:rPr>
          <w:sz w:val="24"/>
          <w:szCs w:val="24"/>
        </w:rPr>
        <w:t xml:space="preserve">Sukladno zakonskim propisima sredstva </w:t>
      </w:r>
      <w:r w:rsidRPr="00374209">
        <w:rPr>
          <w:sz w:val="24"/>
          <w:szCs w:val="24"/>
        </w:rPr>
        <w:t xml:space="preserve">za pokriće </w:t>
      </w:r>
      <w:r>
        <w:rPr>
          <w:sz w:val="24"/>
          <w:szCs w:val="24"/>
        </w:rPr>
        <w:t>svih</w:t>
      </w:r>
      <w:r w:rsidRPr="00374209">
        <w:rPr>
          <w:sz w:val="24"/>
          <w:szCs w:val="24"/>
        </w:rPr>
        <w:t xml:space="preserve"> troškova </w:t>
      </w:r>
      <w:r>
        <w:rPr>
          <w:sz w:val="24"/>
          <w:szCs w:val="24"/>
        </w:rPr>
        <w:t xml:space="preserve">provedbe izbora na državnoj razini </w:t>
      </w:r>
      <w:r w:rsidRPr="00374209">
        <w:rPr>
          <w:sz w:val="24"/>
          <w:szCs w:val="24"/>
        </w:rPr>
        <w:t>osiguravaju</w:t>
      </w:r>
      <w:r w:rsidR="00F26B5A">
        <w:rPr>
          <w:sz w:val="24"/>
          <w:szCs w:val="24"/>
        </w:rPr>
        <w:t xml:space="preserve"> se</w:t>
      </w:r>
      <w:r w:rsidRPr="00374209">
        <w:rPr>
          <w:sz w:val="24"/>
          <w:szCs w:val="24"/>
        </w:rPr>
        <w:t xml:space="preserve"> u državnom proračunu Republike Hrvatske na razdjelu Državnog izbornog povjerenstva</w:t>
      </w:r>
      <w:r w:rsidR="001C5A11">
        <w:rPr>
          <w:sz w:val="24"/>
          <w:szCs w:val="24"/>
        </w:rPr>
        <w:t>. Sredstva za</w:t>
      </w:r>
      <w:r w:rsidR="00960568">
        <w:rPr>
          <w:sz w:val="24"/>
          <w:szCs w:val="24"/>
        </w:rPr>
        <w:t xml:space="preserve"> pokriće troškova </w:t>
      </w:r>
      <w:r w:rsidR="001C5A11">
        <w:rPr>
          <w:sz w:val="24"/>
          <w:szCs w:val="24"/>
        </w:rPr>
        <w:t>provedb</w:t>
      </w:r>
      <w:r w:rsidR="00960568">
        <w:rPr>
          <w:sz w:val="24"/>
          <w:szCs w:val="24"/>
        </w:rPr>
        <w:t>e</w:t>
      </w:r>
      <w:r w:rsidR="001C5A11">
        <w:rPr>
          <w:sz w:val="24"/>
          <w:szCs w:val="24"/>
        </w:rPr>
        <w:t xml:space="preserve"> lokalnih izbora</w:t>
      </w:r>
      <w:r w:rsidR="003B605C">
        <w:rPr>
          <w:sz w:val="24"/>
          <w:szCs w:val="24"/>
        </w:rPr>
        <w:t xml:space="preserve">, </w:t>
      </w:r>
      <w:r w:rsidR="00A7432F">
        <w:rPr>
          <w:sz w:val="24"/>
          <w:szCs w:val="24"/>
        </w:rPr>
        <w:t>dopunskih izbora</w:t>
      </w:r>
      <w:r w:rsidR="001C5A11">
        <w:rPr>
          <w:sz w:val="24"/>
          <w:szCs w:val="24"/>
        </w:rPr>
        <w:t xml:space="preserve"> </w:t>
      </w:r>
      <w:r w:rsidR="003B605C">
        <w:rPr>
          <w:sz w:val="24"/>
          <w:szCs w:val="24"/>
        </w:rPr>
        <w:t xml:space="preserve">i prijevremenih lokalnih izbora </w:t>
      </w:r>
      <w:r w:rsidR="001C5A11">
        <w:rPr>
          <w:sz w:val="24"/>
          <w:szCs w:val="24"/>
        </w:rPr>
        <w:t xml:space="preserve">osiguravaju u proračunu pojedine jedinice lokalne i područne (regionalne) samouprave, </w:t>
      </w:r>
      <w:r w:rsidR="00960568">
        <w:rPr>
          <w:sz w:val="24"/>
          <w:szCs w:val="24"/>
        </w:rPr>
        <w:t>dok</w:t>
      </w:r>
      <w:r w:rsidR="001C5A11">
        <w:rPr>
          <w:sz w:val="24"/>
          <w:szCs w:val="24"/>
        </w:rPr>
        <w:t xml:space="preserve"> Državno izborno povjerenstvo </w:t>
      </w:r>
      <w:r w:rsidR="00960568">
        <w:rPr>
          <w:sz w:val="24"/>
          <w:szCs w:val="24"/>
        </w:rPr>
        <w:t xml:space="preserve">osigurava sredstva za pokriće troškova informatičke podrške </w:t>
      </w:r>
      <w:r w:rsidR="003B605C">
        <w:rPr>
          <w:sz w:val="24"/>
          <w:szCs w:val="24"/>
        </w:rPr>
        <w:t>navedenim</w:t>
      </w:r>
      <w:r w:rsidR="00A7432F">
        <w:rPr>
          <w:sz w:val="24"/>
          <w:szCs w:val="24"/>
        </w:rPr>
        <w:t xml:space="preserve"> izborima kao i </w:t>
      </w:r>
      <w:r w:rsidR="00960568">
        <w:rPr>
          <w:sz w:val="24"/>
          <w:szCs w:val="24"/>
        </w:rPr>
        <w:t>pokriće troškova naknada za rad informatičkih koordinatora</w:t>
      </w:r>
      <w:r w:rsidRPr="002E5B04">
        <w:rPr>
          <w:sz w:val="24"/>
          <w:szCs w:val="24"/>
        </w:rPr>
        <w:t>. Upravo</w:t>
      </w:r>
      <w:r>
        <w:rPr>
          <w:sz w:val="24"/>
          <w:szCs w:val="24"/>
        </w:rPr>
        <w:t xml:space="preserve"> je to razlog značaj</w:t>
      </w:r>
      <w:r w:rsidR="001C5A11">
        <w:rPr>
          <w:sz w:val="24"/>
          <w:szCs w:val="24"/>
        </w:rPr>
        <w:t>nog odstupanja ostvarenja u 2025</w:t>
      </w:r>
      <w:r>
        <w:rPr>
          <w:sz w:val="24"/>
          <w:szCs w:val="24"/>
        </w:rPr>
        <w:t>. u odnosu na izvješta</w:t>
      </w:r>
      <w:r w:rsidR="00485303">
        <w:rPr>
          <w:sz w:val="24"/>
          <w:szCs w:val="24"/>
        </w:rPr>
        <w:t>jno razdoblje prethodne godine.</w:t>
      </w:r>
    </w:p>
    <w:p w14:paraId="2871FA5B" w14:textId="731C8F11" w:rsidR="00C460EA" w:rsidRDefault="00485303" w:rsidP="004C2F1B">
      <w:pPr>
        <w:rPr>
          <w:sz w:val="24"/>
          <w:szCs w:val="24"/>
        </w:rPr>
      </w:pPr>
      <w:r>
        <w:rPr>
          <w:sz w:val="24"/>
          <w:szCs w:val="24"/>
        </w:rPr>
        <w:t xml:space="preserve">Ukupni rashodi </w:t>
      </w:r>
      <w:r w:rsidR="00960568">
        <w:rPr>
          <w:sz w:val="24"/>
          <w:szCs w:val="24"/>
        </w:rPr>
        <w:t>i</w:t>
      </w:r>
      <w:r>
        <w:rPr>
          <w:sz w:val="24"/>
          <w:szCs w:val="24"/>
        </w:rPr>
        <w:t xml:space="preserve"> izdaci vezani uz redovnu aktivnost Državnog izbornog povjerenstva povećani </w:t>
      </w:r>
      <w:r w:rsidR="00CF3C15">
        <w:rPr>
          <w:sz w:val="24"/>
          <w:szCs w:val="24"/>
        </w:rPr>
        <w:t xml:space="preserve">su </w:t>
      </w:r>
      <w:r>
        <w:rPr>
          <w:sz w:val="24"/>
          <w:szCs w:val="24"/>
        </w:rPr>
        <w:t>u odnosu na prethodnu godinu</w:t>
      </w:r>
      <w:r w:rsidR="00960568">
        <w:rPr>
          <w:sz w:val="24"/>
          <w:szCs w:val="24"/>
        </w:rPr>
        <w:t xml:space="preserve">. </w:t>
      </w:r>
      <w:r w:rsidR="00736AE7">
        <w:rPr>
          <w:sz w:val="24"/>
          <w:szCs w:val="24"/>
        </w:rPr>
        <w:t>O</w:t>
      </w:r>
      <w:r>
        <w:rPr>
          <w:sz w:val="24"/>
          <w:szCs w:val="24"/>
        </w:rPr>
        <w:t xml:space="preserve">dstupanje </w:t>
      </w:r>
      <w:r w:rsidR="00736AE7">
        <w:rPr>
          <w:sz w:val="24"/>
          <w:szCs w:val="24"/>
        </w:rPr>
        <w:t>se odnosi</w:t>
      </w:r>
      <w:r>
        <w:rPr>
          <w:sz w:val="24"/>
          <w:szCs w:val="24"/>
        </w:rPr>
        <w:t xml:space="preserve"> na </w:t>
      </w:r>
      <w:r w:rsidR="00736AE7">
        <w:rPr>
          <w:sz w:val="24"/>
          <w:szCs w:val="24"/>
        </w:rPr>
        <w:t>porast rashoda za z</w:t>
      </w:r>
      <w:r w:rsidR="00C460EA">
        <w:rPr>
          <w:sz w:val="24"/>
          <w:szCs w:val="24"/>
        </w:rPr>
        <w:t xml:space="preserve">aposlene do kojeg je došlo zbog </w:t>
      </w:r>
      <w:r w:rsidR="00736AE7">
        <w:rPr>
          <w:sz w:val="24"/>
          <w:szCs w:val="24"/>
        </w:rPr>
        <w:t xml:space="preserve">povećanja </w:t>
      </w:r>
      <w:r w:rsidR="00C460EA">
        <w:rPr>
          <w:sz w:val="24"/>
          <w:szCs w:val="24"/>
        </w:rPr>
        <w:t xml:space="preserve">osnovice za </w:t>
      </w:r>
      <w:r w:rsidR="00736AE7">
        <w:rPr>
          <w:sz w:val="24"/>
          <w:szCs w:val="24"/>
        </w:rPr>
        <w:t>plać</w:t>
      </w:r>
      <w:r w:rsidR="00C460EA">
        <w:rPr>
          <w:sz w:val="24"/>
          <w:szCs w:val="24"/>
        </w:rPr>
        <w:t>e</w:t>
      </w:r>
      <w:r w:rsidR="00736AE7">
        <w:rPr>
          <w:sz w:val="24"/>
          <w:szCs w:val="24"/>
        </w:rPr>
        <w:t xml:space="preserve"> državnih dužnosnika</w:t>
      </w:r>
      <w:r w:rsidR="00C460EA">
        <w:rPr>
          <w:sz w:val="24"/>
          <w:szCs w:val="24"/>
        </w:rPr>
        <w:t xml:space="preserve"> kao i osnovice za obračun plaće državnih službenika i namještenika te novih zapošljavanja (zaposlena su tri nova službenika). </w:t>
      </w:r>
    </w:p>
    <w:p w14:paraId="799FAD63" w14:textId="693C0774" w:rsidR="00C460EA" w:rsidRDefault="005A748F" w:rsidP="00C460EA">
      <w:pPr>
        <w:rPr>
          <w:sz w:val="24"/>
          <w:szCs w:val="24"/>
        </w:rPr>
      </w:pPr>
      <w:r w:rsidRPr="00F267C7">
        <w:rPr>
          <w:sz w:val="24"/>
          <w:szCs w:val="24"/>
        </w:rPr>
        <w:t xml:space="preserve">U razdoblju od 1. siječnja do 31. prosinca 2025. </w:t>
      </w:r>
      <w:r>
        <w:rPr>
          <w:sz w:val="24"/>
          <w:szCs w:val="24"/>
        </w:rPr>
        <w:t>rashodi</w:t>
      </w:r>
      <w:r w:rsidRPr="00F267C7">
        <w:rPr>
          <w:sz w:val="24"/>
          <w:szCs w:val="24"/>
        </w:rPr>
        <w:t xml:space="preserve"> su </w:t>
      </w:r>
      <w:r w:rsidR="009C3991">
        <w:rPr>
          <w:sz w:val="24"/>
          <w:szCs w:val="24"/>
        </w:rPr>
        <w:t>ostvareni</w:t>
      </w:r>
      <w:r w:rsidRPr="00F267C7">
        <w:rPr>
          <w:sz w:val="24"/>
          <w:szCs w:val="24"/>
        </w:rPr>
        <w:t xml:space="preserve"> u iznosu od </w:t>
      </w:r>
      <w:r w:rsidRPr="00F267C7">
        <w:rPr>
          <w:bCs/>
          <w:sz w:val="24"/>
          <w:szCs w:val="24"/>
          <w:lang w:val="hr-HR" w:eastAsia="hr-HR"/>
        </w:rPr>
        <w:t xml:space="preserve">13.578.987,86 </w:t>
      </w:r>
      <w:r w:rsidRPr="00F267C7">
        <w:rPr>
          <w:sz w:val="24"/>
          <w:szCs w:val="24"/>
        </w:rPr>
        <w:t xml:space="preserve">eura što iznosi </w:t>
      </w:r>
      <w:r>
        <w:rPr>
          <w:sz w:val="24"/>
          <w:szCs w:val="24"/>
        </w:rPr>
        <w:t>91,64</w:t>
      </w:r>
      <w:r w:rsidRPr="00F267C7">
        <w:rPr>
          <w:sz w:val="24"/>
          <w:szCs w:val="24"/>
        </w:rPr>
        <w:t>%</w:t>
      </w:r>
      <w:r>
        <w:rPr>
          <w:sz w:val="24"/>
          <w:szCs w:val="24"/>
        </w:rPr>
        <w:t xml:space="preserve"> od plana za 2025. </w:t>
      </w:r>
      <w:r w:rsidR="009C3991">
        <w:rPr>
          <w:sz w:val="24"/>
          <w:szCs w:val="24"/>
        </w:rPr>
        <w:t>Ostvaren</w:t>
      </w:r>
      <w:r w:rsidR="00981231">
        <w:rPr>
          <w:sz w:val="24"/>
          <w:szCs w:val="24"/>
        </w:rPr>
        <w:t>i se ras</w:t>
      </w:r>
      <w:r w:rsidR="00A7432F">
        <w:rPr>
          <w:sz w:val="24"/>
          <w:szCs w:val="24"/>
        </w:rPr>
        <w:t>h</w:t>
      </w:r>
      <w:r w:rsidR="00981231">
        <w:rPr>
          <w:sz w:val="24"/>
          <w:szCs w:val="24"/>
        </w:rPr>
        <w:t xml:space="preserve">odi sastoje </w:t>
      </w:r>
      <w:r>
        <w:rPr>
          <w:sz w:val="24"/>
          <w:szCs w:val="24"/>
        </w:rPr>
        <w:t>od rashoda poslovanja u iznosu 13.507.990,51 eura i rashoda za nabavu nefinancijske imov</w:t>
      </w:r>
      <w:r w:rsidR="00A7432F">
        <w:rPr>
          <w:sz w:val="24"/>
          <w:szCs w:val="24"/>
        </w:rPr>
        <w:t>ine u iznosu od 70.997,35 eura</w:t>
      </w:r>
      <w:r w:rsidR="003C3819">
        <w:rPr>
          <w:sz w:val="24"/>
          <w:szCs w:val="24"/>
        </w:rPr>
        <w:t xml:space="preserve">, a cijelosti su ostvareni na </w:t>
      </w:r>
      <w:r>
        <w:rPr>
          <w:sz w:val="24"/>
          <w:szCs w:val="24"/>
        </w:rPr>
        <w:t>izvor</w:t>
      </w:r>
      <w:r w:rsidR="003C3819">
        <w:rPr>
          <w:sz w:val="24"/>
          <w:szCs w:val="24"/>
        </w:rPr>
        <w:t>u</w:t>
      </w:r>
      <w:r>
        <w:rPr>
          <w:sz w:val="24"/>
          <w:szCs w:val="24"/>
        </w:rPr>
        <w:t xml:space="preserve"> financiranja 11</w:t>
      </w:r>
      <w:r w:rsidR="003C3819">
        <w:rPr>
          <w:sz w:val="24"/>
          <w:szCs w:val="24"/>
        </w:rPr>
        <w:t xml:space="preserve"> – opći prihodi i primici.</w:t>
      </w:r>
    </w:p>
    <w:p w14:paraId="0A8FD3D3" w14:textId="26AAEC09" w:rsidR="004735B1" w:rsidRPr="004735B1" w:rsidRDefault="006430B8" w:rsidP="00FB28BD">
      <w:pPr>
        <w:rPr>
          <w:sz w:val="24"/>
          <w:szCs w:val="24"/>
        </w:rPr>
      </w:pPr>
      <w:r w:rsidRPr="00A7432F">
        <w:rPr>
          <w:sz w:val="24"/>
          <w:szCs w:val="24"/>
        </w:rPr>
        <w:t>Rashodi za zaposlene</w:t>
      </w:r>
      <w:r w:rsidRPr="004735B1">
        <w:rPr>
          <w:sz w:val="24"/>
          <w:szCs w:val="24"/>
        </w:rPr>
        <w:t xml:space="preserve"> </w:t>
      </w:r>
      <w:r w:rsidR="009C3991">
        <w:rPr>
          <w:sz w:val="24"/>
          <w:szCs w:val="24"/>
        </w:rPr>
        <w:t>ostvareni</w:t>
      </w:r>
      <w:r w:rsidR="003C3819" w:rsidRPr="004735B1">
        <w:rPr>
          <w:sz w:val="24"/>
          <w:szCs w:val="24"/>
        </w:rPr>
        <w:t xml:space="preserve"> su u ukupnom iznosu </w:t>
      </w:r>
      <w:r w:rsidRPr="004735B1">
        <w:rPr>
          <w:sz w:val="24"/>
          <w:szCs w:val="24"/>
        </w:rPr>
        <w:t xml:space="preserve">od </w:t>
      </w:r>
      <w:r w:rsidR="003C3819" w:rsidRPr="004735B1">
        <w:rPr>
          <w:sz w:val="24"/>
          <w:szCs w:val="24"/>
        </w:rPr>
        <w:t>1.295.441,99 eura. U odnosu na isto razdoblje prethodne godine ovi su rashodi povećani prvenstveno zbog povećanja visine osnovice za obračun plaća državih dužnosnika, koja se primjenjivala za cijelu 2025., rasta osnovice za obračun plaća državnih službenika i namještenika</w:t>
      </w:r>
      <w:r w:rsidR="004735B1" w:rsidRPr="004735B1">
        <w:rPr>
          <w:sz w:val="24"/>
          <w:szCs w:val="24"/>
        </w:rPr>
        <w:t xml:space="preserve"> u </w:t>
      </w:r>
      <w:r w:rsidR="00CD5759">
        <w:rPr>
          <w:sz w:val="24"/>
          <w:szCs w:val="24"/>
        </w:rPr>
        <w:t>v</w:t>
      </w:r>
      <w:r w:rsidR="004735B1" w:rsidRPr="004735B1">
        <w:rPr>
          <w:sz w:val="24"/>
          <w:szCs w:val="24"/>
        </w:rPr>
        <w:t>iše navrata</w:t>
      </w:r>
      <w:r w:rsidR="003C3819" w:rsidRPr="004735B1">
        <w:rPr>
          <w:sz w:val="24"/>
          <w:szCs w:val="24"/>
        </w:rPr>
        <w:t xml:space="preserve"> tijekom 2025. </w:t>
      </w:r>
      <w:r w:rsidR="004735B1" w:rsidRPr="004735B1">
        <w:rPr>
          <w:sz w:val="24"/>
          <w:szCs w:val="24"/>
        </w:rPr>
        <w:t xml:space="preserve">te zapošljavanja troje novih službenika u drugoj polovici 2025.. </w:t>
      </w:r>
      <w:r w:rsidR="00A36AFD">
        <w:rPr>
          <w:sz w:val="24"/>
          <w:szCs w:val="24"/>
        </w:rPr>
        <w:t>R</w:t>
      </w:r>
      <w:r w:rsidR="004735B1" w:rsidRPr="004735B1">
        <w:rPr>
          <w:sz w:val="24"/>
          <w:szCs w:val="24"/>
        </w:rPr>
        <w:t xml:space="preserve">ashodi za zaposlene </w:t>
      </w:r>
      <w:r w:rsidR="00313533">
        <w:rPr>
          <w:sz w:val="24"/>
          <w:szCs w:val="24"/>
        </w:rPr>
        <w:t xml:space="preserve">su </w:t>
      </w:r>
      <w:r w:rsidR="004735B1" w:rsidRPr="004735B1">
        <w:rPr>
          <w:sz w:val="24"/>
          <w:szCs w:val="24"/>
        </w:rPr>
        <w:t xml:space="preserve">ostvareni u nešto manjem iznosu u odnosu na planirano što je najvećim dijelom vezano uz povećani broj korisnica rodiljnih i roditeljskih potpra odnosno slučajeva privremene nesposobnosti za rad zbog komplikacija u trudnoći te korištenja </w:t>
      </w:r>
      <w:r w:rsidR="004415D8">
        <w:rPr>
          <w:sz w:val="24"/>
          <w:szCs w:val="24"/>
        </w:rPr>
        <w:t>drugih prava vezanih uz njegu d</w:t>
      </w:r>
      <w:r w:rsidR="004735B1" w:rsidRPr="004735B1">
        <w:rPr>
          <w:sz w:val="24"/>
          <w:szCs w:val="24"/>
        </w:rPr>
        <w:t>jece. Na dan 31</w:t>
      </w:r>
      <w:r w:rsidR="00A7432F">
        <w:rPr>
          <w:sz w:val="24"/>
          <w:szCs w:val="24"/>
        </w:rPr>
        <w:t>.</w:t>
      </w:r>
      <w:r w:rsidR="004735B1" w:rsidRPr="004735B1">
        <w:rPr>
          <w:sz w:val="24"/>
          <w:szCs w:val="24"/>
        </w:rPr>
        <w:t xml:space="preserve"> prosinca 2025. ukup</w:t>
      </w:r>
      <w:r w:rsidR="00A7432F">
        <w:rPr>
          <w:sz w:val="24"/>
          <w:szCs w:val="24"/>
        </w:rPr>
        <w:t>no je bila zaposlena 31 osoba (</w:t>
      </w:r>
      <w:r w:rsidR="004735B1" w:rsidRPr="004735B1">
        <w:rPr>
          <w:sz w:val="24"/>
          <w:szCs w:val="24"/>
        </w:rPr>
        <w:t xml:space="preserve">25 </w:t>
      </w:r>
      <w:r w:rsidR="003B605C">
        <w:rPr>
          <w:sz w:val="24"/>
          <w:szCs w:val="24"/>
        </w:rPr>
        <w:t xml:space="preserve">državnih </w:t>
      </w:r>
      <w:r w:rsidR="004735B1" w:rsidRPr="004735B1">
        <w:rPr>
          <w:sz w:val="24"/>
          <w:szCs w:val="24"/>
        </w:rPr>
        <w:t xml:space="preserve">službenika i namještenika i 6 </w:t>
      </w:r>
      <w:r w:rsidR="003B605C">
        <w:rPr>
          <w:sz w:val="24"/>
          <w:szCs w:val="24"/>
        </w:rPr>
        <w:t xml:space="preserve">državnih </w:t>
      </w:r>
      <w:r w:rsidR="004735B1" w:rsidRPr="004735B1">
        <w:rPr>
          <w:sz w:val="24"/>
          <w:szCs w:val="24"/>
        </w:rPr>
        <w:t>dužnosnika).</w:t>
      </w:r>
    </w:p>
    <w:p w14:paraId="0C4692D9" w14:textId="50D728C0" w:rsidR="006430B8" w:rsidRPr="001F3FF7" w:rsidRDefault="006430B8" w:rsidP="00196EE1">
      <w:pPr>
        <w:rPr>
          <w:sz w:val="24"/>
          <w:szCs w:val="24"/>
        </w:rPr>
      </w:pPr>
      <w:r w:rsidRPr="00A7432F">
        <w:rPr>
          <w:sz w:val="24"/>
          <w:szCs w:val="24"/>
        </w:rPr>
        <w:t>Materijalni rashodi</w:t>
      </w:r>
      <w:r w:rsidRPr="004735B1">
        <w:rPr>
          <w:sz w:val="24"/>
          <w:szCs w:val="24"/>
        </w:rPr>
        <w:t xml:space="preserve"> </w:t>
      </w:r>
      <w:r w:rsidR="00A36AFD">
        <w:rPr>
          <w:sz w:val="24"/>
          <w:szCs w:val="24"/>
        </w:rPr>
        <w:t>ostvareni</w:t>
      </w:r>
      <w:r w:rsidR="00981231">
        <w:rPr>
          <w:sz w:val="24"/>
          <w:szCs w:val="24"/>
        </w:rPr>
        <w:t xml:space="preserve"> </w:t>
      </w:r>
      <w:r w:rsidR="004735B1" w:rsidRPr="004735B1">
        <w:rPr>
          <w:sz w:val="24"/>
          <w:szCs w:val="24"/>
        </w:rPr>
        <w:t>su u ukupnom iznosu od 4.322.981,07 eura</w:t>
      </w:r>
      <w:r w:rsidR="00196EE1">
        <w:rPr>
          <w:sz w:val="24"/>
          <w:szCs w:val="24"/>
        </w:rPr>
        <w:t xml:space="preserve">, što iznosi 89,39% od plana za 2025. </w:t>
      </w:r>
      <w:r w:rsidR="004735B1" w:rsidRPr="004735B1">
        <w:rPr>
          <w:sz w:val="24"/>
          <w:szCs w:val="24"/>
        </w:rPr>
        <w:t xml:space="preserve">U odnosu na isto </w:t>
      </w:r>
      <w:r w:rsidR="004735B1">
        <w:rPr>
          <w:sz w:val="24"/>
          <w:szCs w:val="24"/>
        </w:rPr>
        <w:t xml:space="preserve">izvještajno </w:t>
      </w:r>
      <w:r w:rsidR="004735B1" w:rsidRPr="004735B1">
        <w:rPr>
          <w:sz w:val="24"/>
          <w:szCs w:val="24"/>
        </w:rPr>
        <w:t xml:space="preserve">razdoblje prethodne godine ovi su rashodi </w:t>
      </w:r>
      <w:r w:rsidR="00CD5759">
        <w:rPr>
          <w:sz w:val="24"/>
          <w:szCs w:val="24"/>
        </w:rPr>
        <w:t xml:space="preserve">smanjeni. </w:t>
      </w:r>
      <w:r w:rsidR="00CD5759" w:rsidRPr="00736AE7">
        <w:rPr>
          <w:sz w:val="24"/>
          <w:szCs w:val="24"/>
        </w:rPr>
        <w:t>Do takvog znatnog odstupanja došlo je</w:t>
      </w:r>
      <w:r w:rsidR="009D1562">
        <w:rPr>
          <w:sz w:val="24"/>
          <w:szCs w:val="24"/>
        </w:rPr>
        <w:t xml:space="preserve"> prvenstveno</w:t>
      </w:r>
      <w:r w:rsidR="00CD5759" w:rsidRPr="00736AE7">
        <w:rPr>
          <w:sz w:val="24"/>
          <w:szCs w:val="24"/>
        </w:rPr>
        <w:t xml:space="preserve"> zbog održavanja većeg broja izbora na državnoj razini u 2024</w:t>
      </w:r>
      <w:r w:rsidR="0036726F">
        <w:rPr>
          <w:sz w:val="24"/>
          <w:szCs w:val="24"/>
        </w:rPr>
        <w:t>.</w:t>
      </w:r>
      <w:r w:rsidR="00CD5759">
        <w:rPr>
          <w:sz w:val="24"/>
          <w:szCs w:val="24"/>
        </w:rPr>
        <w:t xml:space="preserve"> u odnosu na 2025. </w:t>
      </w:r>
      <w:r w:rsidR="00313533">
        <w:rPr>
          <w:sz w:val="24"/>
          <w:szCs w:val="24"/>
        </w:rPr>
        <w:t xml:space="preserve">Iz tog razloga su sve pozicije materijalnih rashoda </w:t>
      </w:r>
      <w:r w:rsidR="009D1562">
        <w:rPr>
          <w:sz w:val="24"/>
          <w:szCs w:val="24"/>
        </w:rPr>
        <w:t xml:space="preserve">osim naknada troškova zaposlenima </w:t>
      </w:r>
      <w:r w:rsidR="00313533">
        <w:rPr>
          <w:sz w:val="24"/>
          <w:szCs w:val="24"/>
        </w:rPr>
        <w:t>smanjenje</w:t>
      </w:r>
      <w:r w:rsidR="009D1562" w:rsidRPr="001F3FF7">
        <w:rPr>
          <w:sz w:val="24"/>
          <w:szCs w:val="24"/>
        </w:rPr>
        <w:t xml:space="preserve">. </w:t>
      </w:r>
      <w:r w:rsidRPr="001F3FF7">
        <w:rPr>
          <w:sz w:val="24"/>
          <w:szCs w:val="24"/>
        </w:rPr>
        <w:t>Najveća stavka u materijalnim rashodima su</w:t>
      </w:r>
      <w:r w:rsidR="00196EE1" w:rsidRPr="001F3FF7">
        <w:rPr>
          <w:sz w:val="24"/>
          <w:szCs w:val="24"/>
        </w:rPr>
        <w:t xml:space="preserve"> rashodi za usluge od kojih su najznačajni </w:t>
      </w:r>
      <w:r w:rsidRPr="001F3FF7">
        <w:rPr>
          <w:sz w:val="24"/>
          <w:szCs w:val="24"/>
        </w:rPr>
        <w:t xml:space="preserve">troškovi </w:t>
      </w:r>
      <w:r w:rsidR="00C26B40" w:rsidRPr="001F3FF7">
        <w:rPr>
          <w:sz w:val="24"/>
          <w:szCs w:val="24"/>
        </w:rPr>
        <w:t>računalnih</w:t>
      </w:r>
      <w:r w:rsidRPr="001F3FF7">
        <w:rPr>
          <w:sz w:val="24"/>
          <w:szCs w:val="24"/>
        </w:rPr>
        <w:t xml:space="preserve"> uslug</w:t>
      </w:r>
      <w:r w:rsidR="00196EE1" w:rsidRPr="001F3FF7">
        <w:rPr>
          <w:sz w:val="24"/>
          <w:szCs w:val="24"/>
        </w:rPr>
        <w:t xml:space="preserve">a. Vezano uz izbornu aktivnost najznačajnije smanjenje </w:t>
      </w:r>
      <w:r w:rsidR="001F3FF7" w:rsidRPr="001F3FF7">
        <w:rPr>
          <w:sz w:val="24"/>
          <w:szCs w:val="24"/>
        </w:rPr>
        <w:t xml:space="preserve">na poziciji materijalnih rashoda u usporedbi s prethodnom godinom je na uslugama promidžbe i informiranja, te ostalih usluga koje se odnose </w:t>
      </w:r>
      <w:r w:rsidR="00C26B40" w:rsidRPr="001F3FF7">
        <w:rPr>
          <w:sz w:val="24"/>
          <w:szCs w:val="24"/>
        </w:rPr>
        <w:t>trošak tiska i distribucije glasačkih materijala</w:t>
      </w:r>
      <w:r w:rsidR="001F3FF7" w:rsidRPr="001F3FF7">
        <w:rPr>
          <w:sz w:val="24"/>
          <w:szCs w:val="24"/>
        </w:rPr>
        <w:t>.</w:t>
      </w:r>
    </w:p>
    <w:p w14:paraId="3CC14694" w14:textId="3B89429D" w:rsidR="00544779" w:rsidRPr="001F3FF7" w:rsidRDefault="00544779" w:rsidP="00544779">
      <w:pPr>
        <w:rPr>
          <w:sz w:val="24"/>
          <w:szCs w:val="24"/>
        </w:rPr>
      </w:pPr>
      <w:r w:rsidRPr="00A7432F">
        <w:rPr>
          <w:sz w:val="24"/>
          <w:szCs w:val="24"/>
        </w:rPr>
        <w:t>Pomoći dane u inozemstvo i untar općeg proračuna</w:t>
      </w:r>
      <w:r w:rsidRPr="001F3FF7">
        <w:rPr>
          <w:sz w:val="24"/>
          <w:szCs w:val="24"/>
        </w:rPr>
        <w:t xml:space="preserve"> u cijelosti se odnose na tekuće pomo</w:t>
      </w:r>
      <w:r w:rsidR="00F200AF" w:rsidRPr="001F3FF7">
        <w:rPr>
          <w:sz w:val="24"/>
          <w:szCs w:val="24"/>
        </w:rPr>
        <w:t>ći unutar općeg proračuna – žup</w:t>
      </w:r>
      <w:r w:rsidRPr="001F3FF7">
        <w:rPr>
          <w:sz w:val="24"/>
          <w:szCs w:val="24"/>
        </w:rPr>
        <w:t xml:space="preserve">anijskim proračunima za pokriće provedbe troškova na državnoj razini za isplatu naknada za rad u </w:t>
      </w:r>
      <w:r w:rsidR="00096BD6">
        <w:rPr>
          <w:sz w:val="24"/>
          <w:szCs w:val="24"/>
        </w:rPr>
        <w:t>gradskim i općinskim izbornim povjerenstvima</w:t>
      </w:r>
      <w:r w:rsidRPr="001F3FF7">
        <w:rPr>
          <w:sz w:val="24"/>
          <w:szCs w:val="24"/>
        </w:rPr>
        <w:t>, naknade za rad u biračkim odborima, naknade za rad osobama angažiranim za rad u stručnim timovima, te za materijalne troškove provedbe izbora na biračkim mje</w:t>
      </w:r>
      <w:r w:rsidR="001F3FF7" w:rsidRPr="001F3FF7">
        <w:rPr>
          <w:sz w:val="24"/>
          <w:szCs w:val="24"/>
        </w:rPr>
        <w:t xml:space="preserve">stima u Republici Hrvatskoj. Ovi rashodi </w:t>
      </w:r>
      <w:r w:rsidR="00A36AFD">
        <w:rPr>
          <w:sz w:val="24"/>
          <w:szCs w:val="24"/>
        </w:rPr>
        <w:t>ostvareni</w:t>
      </w:r>
      <w:r w:rsidR="001F3FF7" w:rsidRPr="001F3FF7">
        <w:rPr>
          <w:sz w:val="24"/>
          <w:szCs w:val="24"/>
        </w:rPr>
        <w:t xml:space="preserve"> su u iznosu od 7.668.499,51 eura i odnosu na isto razdoblje prethodne godine ovi su rashodi značajno smanjeni. Do takvog znatnog odstupanja došlo je zbog održavanja većeg broja izbora na državnoj razini u 2024</w:t>
      </w:r>
      <w:r w:rsidR="00A7432F">
        <w:rPr>
          <w:sz w:val="24"/>
          <w:szCs w:val="24"/>
        </w:rPr>
        <w:t>.</w:t>
      </w:r>
      <w:r w:rsidR="001F3FF7" w:rsidRPr="001F3FF7">
        <w:rPr>
          <w:sz w:val="24"/>
          <w:szCs w:val="24"/>
        </w:rPr>
        <w:t xml:space="preserve"> u odnosu na 2025.</w:t>
      </w:r>
      <w:r w:rsidR="009C3991">
        <w:rPr>
          <w:sz w:val="24"/>
          <w:szCs w:val="24"/>
        </w:rPr>
        <w:t xml:space="preserve"> Ovi su rashodi vezani isključivo za provedbu izborne aktivnosti.</w:t>
      </w:r>
    </w:p>
    <w:p w14:paraId="3B38BB8D" w14:textId="4DE3DDBE" w:rsidR="009C3991" w:rsidRPr="001F3FF7" w:rsidRDefault="001F3FF7" w:rsidP="009C3991">
      <w:pPr>
        <w:rPr>
          <w:sz w:val="24"/>
          <w:szCs w:val="24"/>
        </w:rPr>
      </w:pPr>
      <w:r w:rsidRPr="00A7432F">
        <w:rPr>
          <w:sz w:val="24"/>
          <w:szCs w:val="24"/>
        </w:rPr>
        <w:t xml:space="preserve">Rashodi za </w:t>
      </w:r>
      <w:r w:rsidR="00A7432F" w:rsidRPr="00A7432F">
        <w:rPr>
          <w:sz w:val="24"/>
          <w:szCs w:val="24"/>
        </w:rPr>
        <w:t>do</w:t>
      </w:r>
      <w:r w:rsidRPr="00A7432F">
        <w:rPr>
          <w:sz w:val="24"/>
          <w:szCs w:val="24"/>
        </w:rPr>
        <w:t>nacije, kazne, naknade šteta i kapitalne pomoći</w:t>
      </w:r>
      <w:r w:rsidRPr="009C3991">
        <w:rPr>
          <w:b/>
          <w:sz w:val="24"/>
          <w:szCs w:val="24"/>
        </w:rPr>
        <w:t xml:space="preserve"> </w:t>
      </w:r>
      <w:r w:rsidRPr="009C3991">
        <w:rPr>
          <w:sz w:val="24"/>
          <w:szCs w:val="24"/>
        </w:rPr>
        <w:t>u cijelosti se odnose na t</w:t>
      </w:r>
      <w:r w:rsidR="00544779" w:rsidRPr="009C3991">
        <w:rPr>
          <w:sz w:val="24"/>
          <w:szCs w:val="24"/>
        </w:rPr>
        <w:t>ekuće donacije u novcu</w:t>
      </w:r>
      <w:r w:rsidR="009C3991" w:rsidRPr="009C3991">
        <w:rPr>
          <w:sz w:val="24"/>
          <w:szCs w:val="24"/>
        </w:rPr>
        <w:t xml:space="preserve">. Ovi se rashodi odnose </w:t>
      </w:r>
      <w:r w:rsidR="00F200AF" w:rsidRPr="009C3991">
        <w:rPr>
          <w:sz w:val="24"/>
          <w:szCs w:val="24"/>
        </w:rPr>
        <w:t>na</w:t>
      </w:r>
      <w:r w:rsidR="00544779" w:rsidRPr="009C3991">
        <w:rPr>
          <w:sz w:val="24"/>
          <w:szCs w:val="24"/>
        </w:rPr>
        <w:t xml:space="preserve"> obvezu temeljem </w:t>
      </w:r>
      <w:r w:rsidR="00A7432F" w:rsidRPr="009C3991">
        <w:rPr>
          <w:sz w:val="24"/>
          <w:szCs w:val="24"/>
          <w:lang w:eastAsia="hr-HR"/>
        </w:rPr>
        <w:t xml:space="preserve">Odluke o visini naknade troškova izborne promidžbe za izbor </w:t>
      </w:r>
      <w:r w:rsidR="00A7432F">
        <w:rPr>
          <w:sz w:val="24"/>
          <w:szCs w:val="24"/>
          <w:lang w:eastAsia="hr-HR"/>
        </w:rPr>
        <w:t>predsjednika</w:t>
      </w:r>
      <w:r w:rsidR="00A7432F" w:rsidRPr="009C3991">
        <w:rPr>
          <w:sz w:val="24"/>
          <w:szCs w:val="24"/>
          <w:lang w:eastAsia="hr-HR"/>
        </w:rPr>
        <w:t xml:space="preserve"> Republike Hrvatske</w:t>
      </w:r>
      <w:r w:rsidR="00A7432F">
        <w:rPr>
          <w:sz w:val="24"/>
          <w:szCs w:val="24"/>
        </w:rPr>
        <w:t>, a koju</w:t>
      </w:r>
      <w:r w:rsidR="00544779" w:rsidRPr="009C3991">
        <w:rPr>
          <w:sz w:val="24"/>
          <w:szCs w:val="24"/>
        </w:rPr>
        <w:t xml:space="preserve"> donosi Vlada Republike Hrvatske sukladno važećim zakonskim propisim</w:t>
      </w:r>
      <w:r w:rsidR="003B605C">
        <w:rPr>
          <w:sz w:val="24"/>
          <w:szCs w:val="24"/>
        </w:rPr>
        <w:t>a</w:t>
      </w:r>
      <w:r w:rsidR="00A7432F">
        <w:rPr>
          <w:sz w:val="24"/>
          <w:szCs w:val="24"/>
        </w:rPr>
        <w:t xml:space="preserve">. </w:t>
      </w:r>
      <w:r w:rsidR="00A7432F" w:rsidRPr="009C3991">
        <w:rPr>
          <w:sz w:val="24"/>
          <w:szCs w:val="24"/>
        </w:rPr>
        <w:t xml:space="preserve">Rashodi za tekuće donacije u novcu su </w:t>
      </w:r>
      <w:r w:rsidR="00A7432F">
        <w:rPr>
          <w:sz w:val="24"/>
          <w:szCs w:val="24"/>
        </w:rPr>
        <w:t>ostvareni</w:t>
      </w:r>
      <w:r w:rsidR="00A7432F" w:rsidRPr="009C3991">
        <w:rPr>
          <w:sz w:val="24"/>
          <w:szCs w:val="24"/>
        </w:rPr>
        <w:t xml:space="preserve"> u iznosu od 221.067,75 eura,</w:t>
      </w:r>
      <w:r w:rsidR="00A7432F">
        <w:rPr>
          <w:sz w:val="24"/>
          <w:szCs w:val="24"/>
        </w:rPr>
        <w:t xml:space="preserve"> a odnose se na naknadu troškova izborne promidžbe za dva kandidata n</w:t>
      </w:r>
      <w:r w:rsidR="009C1E28">
        <w:rPr>
          <w:sz w:val="24"/>
          <w:szCs w:val="24"/>
        </w:rPr>
        <w:t>a izborima za predsjednika Republ</w:t>
      </w:r>
      <w:r w:rsidR="00A7432F">
        <w:rPr>
          <w:sz w:val="24"/>
          <w:szCs w:val="24"/>
        </w:rPr>
        <w:t>ike Hrvatske</w:t>
      </w:r>
      <w:r w:rsidR="00A7432F" w:rsidRPr="009C3991">
        <w:rPr>
          <w:sz w:val="24"/>
          <w:szCs w:val="24"/>
        </w:rPr>
        <w:t xml:space="preserve"> te su u odnosu na isto razdoblje prethodne godine smanjeni za otprilike 92%.</w:t>
      </w:r>
      <w:r w:rsidR="00A7432F">
        <w:rPr>
          <w:sz w:val="24"/>
          <w:szCs w:val="24"/>
        </w:rPr>
        <w:t xml:space="preserve"> Ovi su rashodi vezani isključivo za provedbu izborne aktivnosti.</w:t>
      </w:r>
    </w:p>
    <w:p w14:paraId="5C33C06E" w14:textId="04D67BCF" w:rsidR="006430B8" w:rsidRPr="009C3991" w:rsidRDefault="006430B8" w:rsidP="00544779">
      <w:pPr>
        <w:rPr>
          <w:sz w:val="24"/>
          <w:szCs w:val="24"/>
        </w:rPr>
      </w:pPr>
      <w:r w:rsidRPr="009C3991">
        <w:rPr>
          <w:b/>
          <w:sz w:val="24"/>
          <w:szCs w:val="24"/>
        </w:rPr>
        <w:t xml:space="preserve">Kapitalni izdaci odnosno rashodi za nabavu </w:t>
      </w:r>
      <w:r w:rsidR="009C3991" w:rsidRPr="009C3991">
        <w:rPr>
          <w:b/>
          <w:sz w:val="24"/>
          <w:szCs w:val="24"/>
        </w:rPr>
        <w:t>nefinancijske</w:t>
      </w:r>
      <w:r w:rsidRPr="009C3991">
        <w:rPr>
          <w:b/>
          <w:sz w:val="24"/>
          <w:szCs w:val="24"/>
        </w:rPr>
        <w:t xml:space="preserve"> imovine</w:t>
      </w:r>
      <w:r w:rsidRPr="009C3991">
        <w:rPr>
          <w:sz w:val="24"/>
          <w:szCs w:val="24"/>
        </w:rPr>
        <w:t xml:space="preserve"> </w:t>
      </w:r>
      <w:r w:rsidR="00A36AFD">
        <w:rPr>
          <w:sz w:val="24"/>
          <w:szCs w:val="24"/>
        </w:rPr>
        <w:t>ostvareni</w:t>
      </w:r>
      <w:r w:rsidR="009C3991" w:rsidRPr="009C3991">
        <w:rPr>
          <w:sz w:val="24"/>
          <w:szCs w:val="24"/>
        </w:rPr>
        <w:t xml:space="preserve"> su u iznosu od 70.997,35 eura što iznosi 64,16% plana za 2025. U odnosu na isto razdoblje prethodne godine ovi su rashodi povećani prvenstveno zbog nabave službenog osobnog automobila tijekom 2025.</w:t>
      </w:r>
      <w:bookmarkStart w:id="0" w:name="_GoBack"/>
      <w:bookmarkEnd w:id="0"/>
      <w:r w:rsidR="009C3991" w:rsidRPr="009C3991">
        <w:rPr>
          <w:sz w:val="24"/>
          <w:szCs w:val="24"/>
        </w:rPr>
        <w:t>, te nešto većih ulaganja u uredsku i komunikacijsku opremu</w:t>
      </w:r>
    </w:p>
    <w:p w14:paraId="2AFDF230" w14:textId="77777777" w:rsidR="00C36B2D" w:rsidRDefault="00C36B2D"/>
    <w:p w14:paraId="6B40D8BA" w14:textId="77777777" w:rsidR="004C18BA" w:rsidRDefault="004C18BA" w:rsidP="004C18BA">
      <w:pPr>
        <w:rPr>
          <w:sz w:val="24"/>
          <w:szCs w:val="24"/>
        </w:rPr>
      </w:pPr>
      <w:r>
        <w:rPr>
          <w:sz w:val="24"/>
          <w:szCs w:val="24"/>
        </w:rPr>
        <w:t>STANJE NOVČANIH SREDSTAVA NA RAČUNIMA</w:t>
      </w:r>
    </w:p>
    <w:tbl>
      <w:tblPr>
        <w:tblW w:w="8564" w:type="dxa"/>
        <w:tblLook w:val="04A0" w:firstRow="1" w:lastRow="0" w:firstColumn="1" w:lastColumn="0" w:noHBand="0" w:noVBand="1"/>
      </w:tblPr>
      <w:tblGrid>
        <w:gridCol w:w="740"/>
        <w:gridCol w:w="4784"/>
        <w:gridCol w:w="1520"/>
        <w:gridCol w:w="1520"/>
      </w:tblGrid>
      <w:tr w:rsidR="004C18BA" w:rsidRPr="00CE4D35" w14:paraId="5CFBE895" w14:textId="77777777" w:rsidTr="004C18BA">
        <w:trPr>
          <w:trHeight w:val="433"/>
        </w:trPr>
        <w:tc>
          <w:tcPr>
            <w:tcW w:w="740" w:type="dxa"/>
            <w:vMerge w:val="restart"/>
            <w:tcBorders>
              <w:top w:val="single" w:sz="4" w:space="0" w:color="auto"/>
              <w:left w:val="single" w:sz="4" w:space="0" w:color="auto"/>
              <w:bottom w:val="single" w:sz="4" w:space="0" w:color="auto"/>
              <w:right w:val="single" w:sz="4" w:space="0" w:color="auto"/>
            </w:tcBorders>
            <w:shd w:val="clear" w:color="000000" w:fill="DDEBF7"/>
            <w:vAlign w:val="center"/>
            <w:hideMark/>
          </w:tcPr>
          <w:p w14:paraId="31C747BD" w14:textId="77777777" w:rsidR="004C18BA" w:rsidRPr="00CE4D35" w:rsidRDefault="004C18BA" w:rsidP="004C18BA">
            <w:pPr>
              <w:overflowPunct/>
              <w:autoSpaceDE/>
              <w:autoSpaceDN/>
              <w:adjustRightInd/>
              <w:spacing w:after="0"/>
              <w:jc w:val="center"/>
              <w:textAlignment w:val="auto"/>
              <w:rPr>
                <w:b/>
                <w:bCs/>
                <w:color w:val="000000"/>
                <w:sz w:val="20"/>
                <w:lang w:val="hr-HR" w:eastAsia="hr-HR"/>
              </w:rPr>
            </w:pPr>
            <w:r w:rsidRPr="00CE4D35">
              <w:rPr>
                <w:b/>
                <w:bCs/>
                <w:color w:val="000000"/>
                <w:sz w:val="20"/>
                <w:lang w:val="hr-HR" w:eastAsia="hr-HR"/>
              </w:rPr>
              <w:t>Redni broj</w:t>
            </w:r>
          </w:p>
        </w:tc>
        <w:tc>
          <w:tcPr>
            <w:tcW w:w="4784" w:type="dxa"/>
            <w:vMerge w:val="restart"/>
            <w:tcBorders>
              <w:top w:val="single" w:sz="4" w:space="0" w:color="auto"/>
              <w:left w:val="single" w:sz="4" w:space="0" w:color="auto"/>
              <w:bottom w:val="single" w:sz="4" w:space="0" w:color="auto"/>
              <w:right w:val="single" w:sz="4" w:space="0" w:color="auto"/>
            </w:tcBorders>
            <w:shd w:val="clear" w:color="000000" w:fill="DDEBF7"/>
            <w:vAlign w:val="center"/>
            <w:hideMark/>
          </w:tcPr>
          <w:p w14:paraId="4517F45A" w14:textId="77777777" w:rsidR="004C18BA" w:rsidRPr="00CE4D35" w:rsidRDefault="004C18BA" w:rsidP="004C18BA">
            <w:pPr>
              <w:overflowPunct/>
              <w:autoSpaceDE/>
              <w:autoSpaceDN/>
              <w:adjustRightInd/>
              <w:spacing w:after="0"/>
              <w:jc w:val="center"/>
              <w:textAlignment w:val="auto"/>
              <w:rPr>
                <w:b/>
                <w:bCs/>
                <w:color w:val="000000"/>
                <w:sz w:val="20"/>
                <w:lang w:val="hr-HR" w:eastAsia="hr-HR"/>
              </w:rPr>
            </w:pPr>
            <w:r w:rsidRPr="00CE4D35">
              <w:rPr>
                <w:b/>
                <w:bCs/>
                <w:color w:val="000000"/>
                <w:sz w:val="20"/>
                <w:lang w:val="hr-HR" w:eastAsia="hr-HR"/>
              </w:rPr>
              <w:t>Račun</w:t>
            </w:r>
          </w:p>
        </w:tc>
        <w:tc>
          <w:tcPr>
            <w:tcW w:w="1520" w:type="dxa"/>
            <w:vMerge w:val="restart"/>
            <w:tcBorders>
              <w:top w:val="single" w:sz="4" w:space="0" w:color="auto"/>
              <w:left w:val="single" w:sz="4" w:space="0" w:color="auto"/>
              <w:bottom w:val="single" w:sz="4" w:space="0" w:color="auto"/>
              <w:right w:val="single" w:sz="4" w:space="0" w:color="auto"/>
            </w:tcBorders>
            <w:shd w:val="clear" w:color="000000" w:fill="DDEBF7"/>
            <w:vAlign w:val="center"/>
            <w:hideMark/>
          </w:tcPr>
          <w:p w14:paraId="4306009B" w14:textId="13B345D6" w:rsidR="004C18BA" w:rsidRPr="00CE4D35" w:rsidRDefault="004C18BA" w:rsidP="004C18BA">
            <w:pPr>
              <w:overflowPunct/>
              <w:autoSpaceDE/>
              <w:autoSpaceDN/>
              <w:adjustRightInd/>
              <w:spacing w:after="0"/>
              <w:jc w:val="center"/>
              <w:textAlignment w:val="auto"/>
              <w:rPr>
                <w:b/>
                <w:bCs/>
                <w:color w:val="000000"/>
                <w:sz w:val="20"/>
                <w:lang w:val="hr-HR" w:eastAsia="hr-HR"/>
              </w:rPr>
            </w:pPr>
            <w:r w:rsidRPr="00CE4D35">
              <w:rPr>
                <w:b/>
                <w:bCs/>
                <w:color w:val="000000"/>
                <w:sz w:val="20"/>
                <w:lang w:val="hr-HR" w:eastAsia="hr-HR"/>
              </w:rPr>
              <w:t>Stanje na dan 1.1.202</w:t>
            </w:r>
            <w:r w:rsidR="009C3991">
              <w:rPr>
                <w:b/>
                <w:bCs/>
                <w:color w:val="000000"/>
                <w:sz w:val="20"/>
                <w:lang w:val="hr-HR" w:eastAsia="hr-HR"/>
              </w:rPr>
              <w:t>5</w:t>
            </w:r>
            <w:r w:rsidRPr="00CE4D35">
              <w:rPr>
                <w:b/>
                <w:bCs/>
                <w:color w:val="000000"/>
                <w:sz w:val="20"/>
                <w:lang w:val="hr-HR" w:eastAsia="hr-HR"/>
              </w:rPr>
              <w:t>.</w:t>
            </w:r>
          </w:p>
        </w:tc>
        <w:tc>
          <w:tcPr>
            <w:tcW w:w="1520" w:type="dxa"/>
            <w:vMerge w:val="restart"/>
            <w:tcBorders>
              <w:top w:val="single" w:sz="4" w:space="0" w:color="auto"/>
              <w:left w:val="single" w:sz="4" w:space="0" w:color="auto"/>
              <w:bottom w:val="single" w:sz="4" w:space="0" w:color="auto"/>
              <w:right w:val="single" w:sz="4" w:space="0" w:color="auto"/>
            </w:tcBorders>
            <w:shd w:val="clear" w:color="000000" w:fill="DDEBF7"/>
            <w:vAlign w:val="center"/>
            <w:hideMark/>
          </w:tcPr>
          <w:p w14:paraId="585200F7" w14:textId="5F13308B" w:rsidR="004C18BA" w:rsidRPr="00CE4D35" w:rsidRDefault="004C18BA" w:rsidP="009C3991">
            <w:pPr>
              <w:overflowPunct/>
              <w:autoSpaceDE/>
              <w:autoSpaceDN/>
              <w:adjustRightInd/>
              <w:spacing w:after="0"/>
              <w:jc w:val="center"/>
              <w:textAlignment w:val="auto"/>
              <w:rPr>
                <w:b/>
                <w:bCs/>
                <w:color w:val="000000"/>
                <w:sz w:val="20"/>
                <w:lang w:val="hr-HR" w:eastAsia="hr-HR"/>
              </w:rPr>
            </w:pPr>
            <w:r w:rsidRPr="00CE4D35">
              <w:rPr>
                <w:b/>
                <w:bCs/>
                <w:color w:val="000000"/>
                <w:sz w:val="20"/>
                <w:lang w:val="hr-HR" w:eastAsia="hr-HR"/>
              </w:rPr>
              <w:t>Stanje na dan 31.12.202</w:t>
            </w:r>
            <w:r w:rsidR="009C3991">
              <w:rPr>
                <w:b/>
                <w:bCs/>
                <w:color w:val="000000"/>
                <w:sz w:val="20"/>
                <w:lang w:val="hr-HR" w:eastAsia="hr-HR"/>
              </w:rPr>
              <w:t>5</w:t>
            </w:r>
            <w:r w:rsidRPr="00CE4D35">
              <w:rPr>
                <w:b/>
                <w:bCs/>
                <w:color w:val="000000"/>
                <w:sz w:val="20"/>
                <w:lang w:val="hr-HR" w:eastAsia="hr-HR"/>
              </w:rPr>
              <w:t>.</w:t>
            </w:r>
          </w:p>
        </w:tc>
      </w:tr>
      <w:tr w:rsidR="004C18BA" w:rsidRPr="004C18BA" w14:paraId="2733B86B" w14:textId="77777777" w:rsidTr="004C18BA">
        <w:trPr>
          <w:trHeight w:val="433"/>
        </w:trPr>
        <w:tc>
          <w:tcPr>
            <w:tcW w:w="740" w:type="dxa"/>
            <w:vMerge/>
            <w:tcBorders>
              <w:top w:val="single" w:sz="4" w:space="0" w:color="auto"/>
              <w:left w:val="single" w:sz="4" w:space="0" w:color="auto"/>
              <w:bottom w:val="single" w:sz="4" w:space="0" w:color="auto"/>
              <w:right w:val="single" w:sz="4" w:space="0" w:color="auto"/>
            </w:tcBorders>
            <w:vAlign w:val="center"/>
            <w:hideMark/>
          </w:tcPr>
          <w:p w14:paraId="471688B3" w14:textId="77777777" w:rsidR="004C18BA" w:rsidRPr="004C18BA" w:rsidRDefault="004C18BA" w:rsidP="004C18BA">
            <w:pPr>
              <w:overflowPunct/>
              <w:autoSpaceDE/>
              <w:autoSpaceDN/>
              <w:adjustRightInd/>
              <w:spacing w:after="0"/>
              <w:jc w:val="left"/>
              <w:textAlignment w:val="auto"/>
              <w:rPr>
                <w:b/>
                <w:bCs/>
                <w:color w:val="000000"/>
                <w:szCs w:val="22"/>
                <w:lang w:val="hr-HR" w:eastAsia="hr-HR"/>
              </w:rPr>
            </w:pPr>
          </w:p>
        </w:tc>
        <w:tc>
          <w:tcPr>
            <w:tcW w:w="4784" w:type="dxa"/>
            <w:vMerge/>
            <w:tcBorders>
              <w:top w:val="single" w:sz="4" w:space="0" w:color="auto"/>
              <w:left w:val="single" w:sz="4" w:space="0" w:color="auto"/>
              <w:bottom w:val="single" w:sz="4" w:space="0" w:color="auto"/>
              <w:right w:val="single" w:sz="4" w:space="0" w:color="auto"/>
            </w:tcBorders>
            <w:vAlign w:val="center"/>
            <w:hideMark/>
          </w:tcPr>
          <w:p w14:paraId="46871C6F" w14:textId="77777777" w:rsidR="004C18BA" w:rsidRPr="004C18BA" w:rsidRDefault="004C18BA" w:rsidP="004C18BA">
            <w:pPr>
              <w:overflowPunct/>
              <w:autoSpaceDE/>
              <w:autoSpaceDN/>
              <w:adjustRightInd/>
              <w:spacing w:after="0"/>
              <w:jc w:val="left"/>
              <w:textAlignment w:val="auto"/>
              <w:rPr>
                <w:b/>
                <w:bCs/>
                <w:color w:val="000000"/>
                <w:szCs w:val="22"/>
                <w:lang w:val="hr-HR" w:eastAsia="hr-HR"/>
              </w:rPr>
            </w:pPr>
          </w:p>
        </w:tc>
        <w:tc>
          <w:tcPr>
            <w:tcW w:w="1520" w:type="dxa"/>
            <w:vMerge/>
            <w:tcBorders>
              <w:top w:val="single" w:sz="4" w:space="0" w:color="auto"/>
              <w:left w:val="single" w:sz="4" w:space="0" w:color="auto"/>
              <w:bottom w:val="single" w:sz="4" w:space="0" w:color="auto"/>
              <w:right w:val="single" w:sz="4" w:space="0" w:color="auto"/>
            </w:tcBorders>
            <w:vAlign w:val="center"/>
            <w:hideMark/>
          </w:tcPr>
          <w:p w14:paraId="485AAD42" w14:textId="77777777" w:rsidR="004C18BA" w:rsidRPr="004C18BA" w:rsidRDefault="004C18BA" w:rsidP="004C18BA">
            <w:pPr>
              <w:overflowPunct/>
              <w:autoSpaceDE/>
              <w:autoSpaceDN/>
              <w:adjustRightInd/>
              <w:spacing w:after="0"/>
              <w:jc w:val="left"/>
              <w:textAlignment w:val="auto"/>
              <w:rPr>
                <w:b/>
                <w:bCs/>
                <w:color w:val="000000"/>
                <w:szCs w:val="22"/>
                <w:lang w:val="hr-HR" w:eastAsia="hr-HR"/>
              </w:rPr>
            </w:pPr>
          </w:p>
        </w:tc>
        <w:tc>
          <w:tcPr>
            <w:tcW w:w="1520" w:type="dxa"/>
            <w:vMerge/>
            <w:tcBorders>
              <w:top w:val="single" w:sz="4" w:space="0" w:color="auto"/>
              <w:left w:val="single" w:sz="4" w:space="0" w:color="auto"/>
              <w:bottom w:val="single" w:sz="4" w:space="0" w:color="auto"/>
              <w:right w:val="single" w:sz="4" w:space="0" w:color="auto"/>
            </w:tcBorders>
            <w:vAlign w:val="center"/>
            <w:hideMark/>
          </w:tcPr>
          <w:p w14:paraId="59B59C22" w14:textId="77777777" w:rsidR="004C18BA" w:rsidRPr="004C18BA" w:rsidRDefault="004C18BA" w:rsidP="004C18BA">
            <w:pPr>
              <w:overflowPunct/>
              <w:autoSpaceDE/>
              <w:autoSpaceDN/>
              <w:adjustRightInd/>
              <w:spacing w:after="0"/>
              <w:jc w:val="left"/>
              <w:textAlignment w:val="auto"/>
              <w:rPr>
                <w:b/>
                <w:bCs/>
                <w:color w:val="000000"/>
                <w:szCs w:val="22"/>
                <w:lang w:val="hr-HR" w:eastAsia="hr-HR"/>
              </w:rPr>
            </w:pPr>
          </w:p>
        </w:tc>
      </w:tr>
      <w:tr w:rsidR="004C18BA" w:rsidRPr="00CE4D35" w14:paraId="02749D5E" w14:textId="77777777" w:rsidTr="004C18BA">
        <w:trPr>
          <w:trHeight w:val="228"/>
        </w:trPr>
        <w:tc>
          <w:tcPr>
            <w:tcW w:w="740" w:type="dxa"/>
            <w:tcBorders>
              <w:top w:val="nil"/>
              <w:left w:val="single" w:sz="4" w:space="0" w:color="auto"/>
              <w:bottom w:val="single" w:sz="4" w:space="0" w:color="auto"/>
              <w:right w:val="single" w:sz="4" w:space="0" w:color="auto"/>
            </w:tcBorders>
            <w:shd w:val="clear" w:color="000000" w:fill="DDEBF7"/>
            <w:vAlign w:val="center"/>
            <w:hideMark/>
          </w:tcPr>
          <w:p w14:paraId="0636A236" w14:textId="77777777" w:rsidR="004C18BA" w:rsidRPr="00CE4D35" w:rsidRDefault="004C18BA" w:rsidP="004C18BA">
            <w:pPr>
              <w:overflowPunct/>
              <w:autoSpaceDE/>
              <w:autoSpaceDN/>
              <w:adjustRightInd/>
              <w:spacing w:after="0"/>
              <w:jc w:val="center"/>
              <w:textAlignment w:val="auto"/>
              <w:rPr>
                <w:color w:val="000000"/>
                <w:sz w:val="18"/>
                <w:szCs w:val="18"/>
                <w:lang w:val="hr-HR" w:eastAsia="hr-HR"/>
              </w:rPr>
            </w:pPr>
            <w:r w:rsidRPr="00CE4D35">
              <w:rPr>
                <w:color w:val="000000"/>
                <w:sz w:val="18"/>
                <w:szCs w:val="18"/>
                <w:lang w:val="hr-HR" w:eastAsia="hr-HR"/>
              </w:rPr>
              <w:t>1</w:t>
            </w:r>
          </w:p>
        </w:tc>
        <w:tc>
          <w:tcPr>
            <w:tcW w:w="4784" w:type="dxa"/>
            <w:tcBorders>
              <w:top w:val="nil"/>
              <w:left w:val="nil"/>
              <w:bottom w:val="single" w:sz="4" w:space="0" w:color="auto"/>
              <w:right w:val="single" w:sz="4" w:space="0" w:color="auto"/>
            </w:tcBorders>
            <w:shd w:val="clear" w:color="000000" w:fill="DDEBF7"/>
            <w:vAlign w:val="center"/>
            <w:hideMark/>
          </w:tcPr>
          <w:p w14:paraId="78F9B413" w14:textId="77777777" w:rsidR="004C18BA" w:rsidRPr="00CE4D35" w:rsidRDefault="004C18BA" w:rsidP="004C18BA">
            <w:pPr>
              <w:overflowPunct/>
              <w:autoSpaceDE/>
              <w:autoSpaceDN/>
              <w:adjustRightInd/>
              <w:spacing w:after="0"/>
              <w:jc w:val="center"/>
              <w:textAlignment w:val="auto"/>
              <w:rPr>
                <w:color w:val="000000"/>
                <w:sz w:val="18"/>
                <w:szCs w:val="18"/>
                <w:lang w:val="hr-HR" w:eastAsia="hr-HR"/>
              </w:rPr>
            </w:pPr>
            <w:r w:rsidRPr="00CE4D35">
              <w:rPr>
                <w:color w:val="000000"/>
                <w:sz w:val="18"/>
                <w:szCs w:val="18"/>
                <w:lang w:val="hr-HR" w:eastAsia="hr-HR"/>
              </w:rPr>
              <w:t>2</w:t>
            </w:r>
          </w:p>
        </w:tc>
        <w:tc>
          <w:tcPr>
            <w:tcW w:w="1520" w:type="dxa"/>
            <w:tcBorders>
              <w:top w:val="nil"/>
              <w:left w:val="nil"/>
              <w:bottom w:val="single" w:sz="4" w:space="0" w:color="auto"/>
              <w:right w:val="single" w:sz="4" w:space="0" w:color="auto"/>
            </w:tcBorders>
            <w:shd w:val="clear" w:color="000000" w:fill="DDEBF7"/>
            <w:vAlign w:val="center"/>
            <w:hideMark/>
          </w:tcPr>
          <w:p w14:paraId="1E7E4187" w14:textId="77777777" w:rsidR="004C18BA" w:rsidRPr="00CE4D35" w:rsidRDefault="004C18BA" w:rsidP="004C18BA">
            <w:pPr>
              <w:overflowPunct/>
              <w:autoSpaceDE/>
              <w:autoSpaceDN/>
              <w:adjustRightInd/>
              <w:spacing w:after="0"/>
              <w:jc w:val="center"/>
              <w:textAlignment w:val="auto"/>
              <w:rPr>
                <w:color w:val="000000"/>
                <w:sz w:val="18"/>
                <w:szCs w:val="18"/>
                <w:lang w:val="hr-HR" w:eastAsia="hr-HR"/>
              </w:rPr>
            </w:pPr>
            <w:r w:rsidRPr="00CE4D35">
              <w:rPr>
                <w:color w:val="000000"/>
                <w:sz w:val="18"/>
                <w:szCs w:val="18"/>
                <w:lang w:val="hr-HR" w:eastAsia="hr-HR"/>
              </w:rPr>
              <w:t>3</w:t>
            </w:r>
          </w:p>
        </w:tc>
        <w:tc>
          <w:tcPr>
            <w:tcW w:w="1520" w:type="dxa"/>
            <w:tcBorders>
              <w:top w:val="nil"/>
              <w:left w:val="nil"/>
              <w:bottom w:val="single" w:sz="4" w:space="0" w:color="auto"/>
              <w:right w:val="single" w:sz="4" w:space="0" w:color="auto"/>
            </w:tcBorders>
            <w:shd w:val="clear" w:color="000000" w:fill="DDEBF7"/>
            <w:vAlign w:val="center"/>
            <w:hideMark/>
          </w:tcPr>
          <w:p w14:paraId="6CA49EFF" w14:textId="77777777" w:rsidR="004C18BA" w:rsidRPr="00CE4D35" w:rsidRDefault="004C18BA" w:rsidP="004C18BA">
            <w:pPr>
              <w:overflowPunct/>
              <w:autoSpaceDE/>
              <w:autoSpaceDN/>
              <w:adjustRightInd/>
              <w:spacing w:after="0"/>
              <w:jc w:val="center"/>
              <w:textAlignment w:val="auto"/>
              <w:rPr>
                <w:color w:val="000000"/>
                <w:sz w:val="18"/>
                <w:szCs w:val="18"/>
                <w:lang w:val="hr-HR" w:eastAsia="hr-HR"/>
              </w:rPr>
            </w:pPr>
            <w:r w:rsidRPr="00CE4D35">
              <w:rPr>
                <w:color w:val="000000"/>
                <w:sz w:val="18"/>
                <w:szCs w:val="18"/>
                <w:lang w:val="hr-HR" w:eastAsia="hr-HR"/>
              </w:rPr>
              <w:t>4</w:t>
            </w:r>
          </w:p>
        </w:tc>
      </w:tr>
      <w:tr w:rsidR="004C18BA" w:rsidRPr="004C18BA" w14:paraId="3E1F8B91" w14:textId="77777777" w:rsidTr="004C18BA">
        <w:trPr>
          <w:trHeight w:val="288"/>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4EC5D505" w14:textId="77777777" w:rsidR="004C18BA" w:rsidRPr="004C18BA" w:rsidRDefault="004C18BA" w:rsidP="004C18BA">
            <w:pPr>
              <w:overflowPunct/>
              <w:autoSpaceDE/>
              <w:autoSpaceDN/>
              <w:adjustRightInd/>
              <w:spacing w:after="0"/>
              <w:jc w:val="center"/>
              <w:textAlignment w:val="auto"/>
              <w:rPr>
                <w:color w:val="000000"/>
                <w:szCs w:val="22"/>
                <w:lang w:val="hr-HR" w:eastAsia="hr-HR"/>
              </w:rPr>
            </w:pPr>
            <w:r w:rsidRPr="004C18BA">
              <w:rPr>
                <w:color w:val="000000"/>
                <w:szCs w:val="22"/>
                <w:lang w:val="hr-HR" w:eastAsia="hr-HR"/>
              </w:rPr>
              <w:t>1</w:t>
            </w:r>
          </w:p>
        </w:tc>
        <w:tc>
          <w:tcPr>
            <w:tcW w:w="4784" w:type="dxa"/>
            <w:tcBorders>
              <w:top w:val="nil"/>
              <w:left w:val="nil"/>
              <w:bottom w:val="single" w:sz="4" w:space="0" w:color="auto"/>
              <w:right w:val="single" w:sz="4" w:space="0" w:color="auto"/>
            </w:tcBorders>
            <w:shd w:val="clear" w:color="auto" w:fill="auto"/>
            <w:noWrap/>
            <w:vAlign w:val="bottom"/>
            <w:hideMark/>
          </w:tcPr>
          <w:p w14:paraId="168A11AA" w14:textId="77777777" w:rsidR="004C18BA" w:rsidRPr="004C18BA" w:rsidRDefault="004C18BA" w:rsidP="004C18BA">
            <w:pPr>
              <w:overflowPunct/>
              <w:autoSpaceDE/>
              <w:autoSpaceDN/>
              <w:adjustRightInd/>
              <w:spacing w:after="0"/>
              <w:jc w:val="left"/>
              <w:textAlignment w:val="auto"/>
              <w:rPr>
                <w:color w:val="000000"/>
                <w:szCs w:val="22"/>
                <w:lang w:val="hr-HR" w:eastAsia="hr-HR"/>
              </w:rPr>
            </w:pPr>
            <w:r w:rsidRPr="004C18BA">
              <w:rPr>
                <w:color w:val="000000"/>
                <w:szCs w:val="22"/>
                <w:lang w:val="hr-HR" w:eastAsia="hr-HR"/>
              </w:rPr>
              <w:t>HR1410010051563101150</w:t>
            </w:r>
          </w:p>
        </w:tc>
        <w:tc>
          <w:tcPr>
            <w:tcW w:w="1520" w:type="dxa"/>
            <w:tcBorders>
              <w:top w:val="nil"/>
              <w:left w:val="nil"/>
              <w:bottom w:val="single" w:sz="4" w:space="0" w:color="auto"/>
              <w:right w:val="single" w:sz="4" w:space="0" w:color="auto"/>
            </w:tcBorders>
            <w:shd w:val="clear" w:color="auto" w:fill="auto"/>
            <w:noWrap/>
            <w:vAlign w:val="bottom"/>
            <w:hideMark/>
          </w:tcPr>
          <w:p w14:paraId="49D46001" w14:textId="77777777" w:rsidR="004C18BA" w:rsidRPr="004C18BA" w:rsidRDefault="004C18BA" w:rsidP="004C18BA">
            <w:pPr>
              <w:overflowPunct/>
              <w:autoSpaceDE/>
              <w:autoSpaceDN/>
              <w:adjustRightInd/>
              <w:spacing w:after="0"/>
              <w:jc w:val="right"/>
              <w:textAlignment w:val="auto"/>
              <w:rPr>
                <w:color w:val="000000"/>
                <w:szCs w:val="22"/>
                <w:lang w:val="hr-HR" w:eastAsia="hr-HR"/>
              </w:rPr>
            </w:pPr>
            <w:r w:rsidRPr="004C18BA">
              <w:rPr>
                <w:color w:val="000000"/>
                <w:szCs w:val="22"/>
                <w:lang w:val="hr-HR" w:eastAsia="hr-HR"/>
              </w:rPr>
              <w:t>0,00</w:t>
            </w:r>
          </w:p>
        </w:tc>
        <w:tc>
          <w:tcPr>
            <w:tcW w:w="1520" w:type="dxa"/>
            <w:tcBorders>
              <w:top w:val="nil"/>
              <w:left w:val="nil"/>
              <w:bottom w:val="single" w:sz="4" w:space="0" w:color="auto"/>
              <w:right w:val="single" w:sz="4" w:space="0" w:color="auto"/>
            </w:tcBorders>
            <w:shd w:val="clear" w:color="auto" w:fill="auto"/>
            <w:noWrap/>
            <w:vAlign w:val="bottom"/>
            <w:hideMark/>
          </w:tcPr>
          <w:p w14:paraId="7373D782" w14:textId="77777777" w:rsidR="004C18BA" w:rsidRPr="004C18BA" w:rsidRDefault="004C18BA" w:rsidP="004C18BA">
            <w:pPr>
              <w:overflowPunct/>
              <w:autoSpaceDE/>
              <w:autoSpaceDN/>
              <w:adjustRightInd/>
              <w:spacing w:after="0"/>
              <w:jc w:val="right"/>
              <w:textAlignment w:val="auto"/>
              <w:rPr>
                <w:color w:val="000000"/>
                <w:szCs w:val="22"/>
                <w:lang w:val="hr-HR" w:eastAsia="hr-HR"/>
              </w:rPr>
            </w:pPr>
            <w:r w:rsidRPr="004C18BA">
              <w:rPr>
                <w:color w:val="000000"/>
                <w:szCs w:val="22"/>
                <w:lang w:val="hr-HR" w:eastAsia="hr-HR"/>
              </w:rPr>
              <w:t>0,00</w:t>
            </w:r>
          </w:p>
        </w:tc>
      </w:tr>
      <w:tr w:rsidR="004C18BA" w:rsidRPr="004C18BA" w14:paraId="4B2CCA25" w14:textId="77777777" w:rsidTr="004C18BA">
        <w:trPr>
          <w:trHeight w:val="288"/>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5B39FE89" w14:textId="77777777" w:rsidR="004C18BA" w:rsidRPr="004C18BA" w:rsidRDefault="004C18BA" w:rsidP="004C18BA">
            <w:pPr>
              <w:overflowPunct/>
              <w:autoSpaceDE/>
              <w:autoSpaceDN/>
              <w:adjustRightInd/>
              <w:spacing w:after="0"/>
              <w:jc w:val="center"/>
              <w:textAlignment w:val="auto"/>
              <w:rPr>
                <w:color w:val="000000"/>
                <w:szCs w:val="22"/>
                <w:lang w:val="hr-HR" w:eastAsia="hr-HR"/>
              </w:rPr>
            </w:pPr>
            <w:r w:rsidRPr="004C18BA">
              <w:rPr>
                <w:color w:val="000000"/>
                <w:szCs w:val="22"/>
                <w:lang w:val="hr-HR" w:eastAsia="hr-HR"/>
              </w:rPr>
              <w:t>2</w:t>
            </w:r>
          </w:p>
        </w:tc>
        <w:tc>
          <w:tcPr>
            <w:tcW w:w="4784" w:type="dxa"/>
            <w:tcBorders>
              <w:top w:val="nil"/>
              <w:left w:val="nil"/>
              <w:bottom w:val="single" w:sz="4" w:space="0" w:color="auto"/>
              <w:right w:val="single" w:sz="4" w:space="0" w:color="auto"/>
            </w:tcBorders>
            <w:shd w:val="clear" w:color="auto" w:fill="auto"/>
            <w:noWrap/>
            <w:vAlign w:val="bottom"/>
            <w:hideMark/>
          </w:tcPr>
          <w:p w14:paraId="5AE6A4D6" w14:textId="77777777" w:rsidR="004C18BA" w:rsidRPr="004C18BA" w:rsidRDefault="004C18BA" w:rsidP="004C18BA">
            <w:pPr>
              <w:overflowPunct/>
              <w:autoSpaceDE/>
              <w:autoSpaceDN/>
              <w:adjustRightInd/>
              <w:spacing w:after="0"/>
              <w:jc w:val="left"/>
              <w:textAlignment w:val="auto"/>
              <w:rPr>
                <w:color w:val="000000"/>
                <w:szCs w:val="22"/>
                <w:lang w:val="hr-HR" w:eastAsia="hr-HR"/>
              </w:rPr>
            </w:pPr>
            <w:r w:rsidRPr="004C18BA">
              <w:rPr>
                <w:color w:val="000000"/>
                <w:szCs w:val="22"/>
                <w:lang w:val="hr-HR" w:eastAsia="hr-HR"/>
              </w:rPr>
              <w:t>HR9323900011018000005</w:t>
            </w:r>
          </w:p>
        </w:tc>
        <w:tc>
          <w:tcPr>
            <w:tcW w:w="1520" w:type="dxa"/>
            <w:tcBorders>
              <w:top w:val="nil"/>
              <w:left w:val="nil"/>
              <w:bottom w:val="single" w:sz="4" w:space="0" w:color="auto"/>
              <w:right w:val="single" w:sz="4" w:space="0" w:color="auto"/>
            </w:tcBorders>
            <w:shd w:val="clear" w:color="auto" w:fill="auto"/>
            <w:noWrap/>
            <w:vAlign w:val="bottom"/>
            <w:hideMark/>
          </w:tcPr>
          <w:p w14:paraId="5D4E8221" w14:textId="77777777" w:rsidR="004C18BA" w:rsidRPr="004C18BA" w:rsidRDefault="004C18BA" w:rsidP="004C18BA">
            <w:pPr>
              <w:overflowPunct/>
              <w:autoSpaceDE/>
              <w:autoSpaceDN/>
              <w:adjustRightInd/>
              <w:spacing w:after="0"/>
              <w:jc w:val="right"/>
              <w:textAlignment w:val="auto"/>
              <w:rPr>
                <w:color w:val="000000"/>
                <w:szCs w:val="22"/>
                <w:lang w:val="hr-HR" w:eastAsia="hr-HR"/>
              </w:rPr>
            </w:pPr>
            <w:r w:rsidRPr="004C18BA">
              <w:rPr>
                <w:color w:val="000000"/>
                <w:szCs w:val="22"/>
                <w:lang w:val="hr-HR" w:eastAsia="hr-HR"/>
              </w:rPr>
              <w:t>0,00</w:t>
            </w:r>
          </w:p>
        </w:tc>
        <w:tc>
          <w:tcPr>
            <w:tcW w:w="1520" w:type="dxa"/>
            <w:tcBorders>
              <w:top w:val="nil"/>
              <w:left w:val="nil"/>
              <w:bottom w:val="single" w:sz="4" w:space="0" w:color="auto"/>
              <w:right w:val="single" w:sz="4" w:space="0" w:color="auto"/>
            </w:tcBorders>
            <w:shd w:val="clear" w:color="auto" w:fill="auto"/>
            <w:noWrap/>
            <w:vAlign w:val="bottom"/>
            <w:hideMark/>
          </w:tcPr>
          <w:p w14:paraId="27E30468" w14:textId="77777777" w:rsidR="004C18BA" w:rsidRPr="004C18BA" w:rsidRDefault="004C18BA" w:rsidP="004C18BA">
            <w:pPr>
              <w:overflowPunct/>
              <w:autoSpaceDE/>
              <w:autoSpaceDN/>
              <w:adjustRightInd/>
              <w:spacing w:after="0"/>
              <w:jc w:val="right"/>
              <w:textAlignment w:val="auto"/>
              <w:rPr>
                <w:color w:val="000000"/>
                <w:szCs w:val="22"/>
                <w:lang w:val="hr-HR" w:eastAsia="hr-HR"/>
              </w:rPr>
            </w:pPr>
            <w:r w:rsidRPr="004C18BA">
              <w:rPr>
                <w:color w:val="000000"/>
                <w:szCs w:val="22"/>
                <w:lang w:val="hr-HR" w:eastAsia="hr-HR"/>
              </w:rPr>
              <w:t>0,00</w:t>
            </w:r>
          </w:p>
        </w:tc>
      </w:tr>
    </w:tbl>
    <w:p w14:paraId="1053C868" w14:textId="77777777" w:rsidR="004C18BA" w:rsidRDefault="004C18BA"/>
    <w:sectPr w:rsidR="004C18BA" w:rsidSect="003950D6">
      <w:footerReference w:type="default" r:id="rId7"/>
      <w:pgSz w:w="11906" w:h="16838" w:code="9"/>
      <w:pgMar w:top="1418" w:right="1418" w:bottom="1418" w:left="1418" w:header="567" w:footer="567"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FEE23B" w14:textId="77777777" w:rsidR="00087A79" w:rsidRDefault="00087A79" w:rsidP="006C5D7C">
      <w:pPr>
        <w:spacing w:after="0"/>
      </w:pPr>
      <w:r>
        <w:separator/>
      </w:r>
    </w:p>
  </w:endnote>
  <w:endnote w:type="continuationSeparator" w:id="0">
    <w:p w14:paraId="33BE4E79" w14:textId="77777777" w:rsidR="00087A79" w:rsidRDefault="00087A79" w:rsidP="006C5D7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85679"/>
      <w:docPartObj>
        <w:docPartGallery w:val="Page Numbers (Bottom of Page)"/>
        <w:docPartUnique/>
      </w:docPartObj>
    </w:sdtPr>
    <w:sdtEndPr>
      <w:rPr>
        <w:noProof/>
      </w:rPr>
    </w:sdtEndPr>
    <w:sdtContent>
      <w:p w14:paraId="319A0671" w14:textId="060BEAD4" w:rsidR="001F3FF7" w:rsidRDefault="001F3FF7">
        <w:pPr>
          <w:pStyle w:val="Podnoje"/>
          <w:jc w:val="center"/>
        </w:pPr>
        <w:r>
          <w:fldChar w:fldCharType="begin"/>
        </w:r>
        <w:r>
          <w:instrText xml:space="preserve"> PAGE   \* MERGEFORMAT </w:instrText>
        </w:r>
        <w:r>
          <w:fldChar w:fldCharType="separate"/>
        </w:r>
        <w:r w:rsidR="00747DB3">
          <w:rPr>
            <w:noProof/>
          </w:rPr>
          <w:t>4</w:t>
        </w:r>
        <w:r>
          <w:rPr>
            <w:noProof/>
          </w:rPr>
          <w:fldChar w:fldCharType="end"/>
        </w:r>
      </w:p>
    </w:sdtContent>
  </w:sdt>
  <w:p w14:paraId="7CF5E5CE" w14:textId="77777777" w:rsidR="001F3FF7" w:rsidRDefault="001F3FF7">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C327E3" w14:textId="77777777" w:rsidR="00087A79" w:rsidRDefault="00087A79" w:rsidP="006C5D7C">
      <w:pPr>
        <w:spacing w:after="0"/>
      </w:pPr>
      <w:r>
        <w:separator/>
      </w:r>
    </w:p>
  </w:footnote>
  <w:footnote w:type="continuationSeparator" w:id="0">
    <w:p w14:paraId="1A8AC1D6" w14:textId="77777777" w:rsidR="00087A79" w:rsidRDefault="00087A79" w:rsidP="006C5D7C">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hyphenationZone w:val="425"/>
  <w:drawingGridHorizontalSpacing w:val="110"/>
  <w:drawingGridVerticalSpacing w:val="299"/>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30B8"/>
    <w:rsid w:val="00016D17"/>
    <w:rsid w:val="00022EA6"/>
    <w:rsid w:val="00087A79"/>
    <w:rsid w:val="00096BD6"/>
    <w:rsid w:val="001221EA"/>
    <w:rsid w:val="00124AF9"/>
    <w:rsid w:val="00196EE1"/>
    <w:rsid w:val="001C5A11"/>
    <w:rsid w:val="001D6EC5"/>
    <w:rsid w:val="001F3FF7"/>
    <w:rsid w:val="0020610B"/>
    <w:rsid w:val="00235C82"/>
    <w:rsid w:val="002A39FF"/>
    <w:rsid w:val="002D57BB"/>
    <w:rsid w:val="00313533"/>
    <w:rsid w:val="00313891"/>
    <w:rsid w:val="0036726F"/>
    <w:rsid w:val="003950D6"/>
    <w:rsid w:val="003B605C"/>
    <w:rsid w:val="003C3819"/>
    <w:rsid w:val="003D0A3A"/>
    <w:rsid w:val="003D3803"/>
    <w:rsid w:val="004415D8"/>
    <w:rsid w:val="004735B1"/>
    <w:rsid w:val="00485303"/>
    <w:rsid w:val="004A269D"/>
    <w:rsid w:val="004C18BA"/>
    <w:rsid w:val="004C2F1B"/>
    <w:rsid w:val="005023EC"/>
    <w:rsid w:val="00502C07"/>
    <w:rsid w:val="005423D0"/>
    <w:rsid w:val="00544779"/>
    <w:rsid w:val="005607E4"/>
    <w:rsid w:val="00573D1F"/>
    <w:rsid w:val="005A748F"/>
    <w:rsid w:val="005D2653"/>
    <w:rsid w:val="00630F4C"/>
    <w:rsid w:val="006430B8"/>
    <w:rsid w:val="006A3D68"/>
    <w:rsid w:val="006C5D7C"/>
    <w:rsid w:val="00714D07"/>
    <w:rsid w:val="0072504D"/>
    <w:rsid w:val="00732725"/>
    <w:rsid w:val="007334EC"/>
    <w:rsid w:val="00736AE7"/>
    <w:rsid w:val="00747DB3"/>
    <w:rsid w:val="00773A79"/>
    <w:rsid w:val="007962DE"/>
    <w:rsid w:val="007B6256"/>
    <w:rsid w:val="007E15F1"/>
    <w:rsid w:val="008221B1"/>
    <w:rsid w:val="0082462E"/>
    <w:rsid w:val="00886F76"/>
    <w:rsid w:val="008D3F7F"/>
    <w:rsid w:val="008E4F3C"/>
    <w:rsid w:val="0091232B"/>
    <w:rsid w:val="00932E1A"/>
    <w:rsid w:val="0093696A"/>
    <w:rsid w:val="00960568"/>
    <w:rsid w:val="00981231"/>
    <w:rsid w:val="009A074B"/>
    <w:rsid w:val="009A0C4C"/>
    <w:rsid w:val="009B1812"/>
    <w:rsid w:val="009C1E28"/>
    <w:rsid w:val="009C3991"/>
    <w:rsid w:val="009D1562"/>
    <w:rsid w:val="00A02864"/>
    <w:rsid w:val="00A36AFD"/>
    <w:rsid w:val="00A62656"/>
    <w:rsid w:val="00A62D6C"/>
    <w:rsid w:val="00A7432F"/>
    <w:rsid w:val="00AB3448"/>
    <w:rsid w:val="00B03C42"/>
    <w:rsid w:val="00B21498"/>
    <w:rsid w:val="00B45018"/>
    <w:rsid w:val="00B62488"/>
    <w:rsid w:val="00BC224D"/>
    <w:rsid w:val="00C229F2"/>
    <w:rsid w:val="00C25087"/>
    <w:rsid w:val="00C26B40"/>
    <w:rsid w:val="00C36B2D"/>
    <w:rsid w:val="00C460EA"/>
    <w:rsid w:val="00C61F2D"/>
    <w:rsid w:val="00C70080"/>
    <w:rsid w:val="00CD5759"/>
    <w:rsid w:val="00CE00C2"/>
    <w:rsid w:val="00CE4D35"/>
    <w:rsid w:val="00CF3C15"/>
    <w:rsid w:val="00D166F6"/>
    <w:rsid w:val="00D20C34"/>
    <w:rsid w:val="00D6201A"/>
    <w:rsid w:val="00D73289"/>
    <w:rsid w:val="00DF0199"/>
    <w:rsid w:val="00F200AF"/>
    <w:rsid w:val="00F24466"/>
    <w:rsid w:val="00F248CB"/>
    <w:rsid w:val="00F267C7"/>
    <w:rsid w:val="00F26B5A"/>
    <w:rsid w:val="00F82EDD"/>
    <w:rsid w:val="00FB28BD"/>
    <w:rsid w:val="00FC32E5"/>
    <w:rsid w:val="00FC40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F45AA07"/>
  <w15:chartTrackingRefBased/>
  <w15:docId w15:val="{0DF62A54-D49C-4BFA-8DA1-BB7C3D640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30B8"/>
    <w:pPr>
      <w:overflowPunct w:val="0"/>
      <w:autoSpaceDE w:val="0"/>
      <w:autoSpaceDN w:val="0"/>
      <w:adjustRightInd w:val="0"/>
      <w:spacing w:after="120" w:line="240" w:lineRule="auto"/>
      <w:jc w:val="both"/>
      <w:textAlignment w:val="baseline"/>
    </w:pPr>
    <w:rPr>
      <w:rFonts w:ascii="Times New Roman" w:eastAsia="Times New Roman" w:hAnsi="Times New Roman" w:cs="Times New Roman"/>
      <w:szCs w:val="20"/>
      <w:lang w:val="sl-SI"/>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6C5D7C"/>
    <w:pPr>
      <w:tabs>
        <w:tab w:val="center" w:pos="4536"/>
        <w:tab w:val="right" w:pos="9072"/>
      </w:tabs>
      <w:spacing w:after="0"/>
    </w:pPr>
  </w:style>
  <w:style w:type="character" w:customStyle="1" w:styleId="ZaglavljeChar">
    <w:name w:val="Zaglavlje Char"/>
    <w:basedOn w:val="Zadanifontodlomka"/>
    <w:link w:val="Zaglavlje"/>
    <w:uiPriority w:val="99"/>
    <w:rsid w:val="006C5D7C"/>
    <w:rPr>
      <w:rFonts w:ascii="Times New Roman" w:eastAsia="Times New Roman" w:hAnsi="Times New Roman" w:cs="Times New Roman"/>
      <w:szCs w:val="20"/>
      <w:lang w:val="sl-SI"/>
    </w:rPr>
  </w:style>
  <w:style w:type="paragraph" w:styleId="Podnoje">
    <w:name w:val="footer"/>
    <w:basedOn w:val="Normal"/>
    <w:link w:val="PodnojeChar"/>
    <w:uiPriority w:val="99"/>
    <w:unhideWhenUsed/>
    <w:rsid w:val="006C5D7C"/>
    <w:pPr>
      <w:tabs>
        <w:tab w:val="center" w:pos="4536"/>
        <w:tab w:val="right" w:pos="9072"/>
      </w:tabs>
      <w:spacing w:after="0"/>
    </w:pPr>
  </w:style>
  <w:style w:type="character" w:customStyle="1" w:styleId="PodnojeChar">
    <w:name w:val="Podnožje Char"/>
    <w:basedOn w:val="Zadanifontodlomka"/>
    <w:link w:val="Podnoje"/>
    <w:uiPriority w:val="99"/>
    <w:rsid w:val="006C5D7C"/>
    <w:rPr>
      <w:rFonts w:ascii="Times New Roman" w:eastAsia="Times New Roman" w:hAnsi="Times New Roman" w:cs="Times New Roman"/>
      <w:szCs w:val="20"/>
      <w:lang w:val="sl-SI"/>
    </w:rPr>
  </w:style>
  <w:style w:type="paragraph" w:styleId="Tekstbalonia">
    <w:name w:val="Balloon Text"/>
    <w:basedOn w:val="Normal"/>
    <w:link w:val="TekstbaloniaChar"/>
    <w:uiPriority w:val="99"/>
    <w:semiHidden/>
    <w:unhideWhenUsed/>
    <w:rsid w:val="00F24466"/>
    <w:pPr>
      <w:spacing w:after="0"/>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F24466"/>
    <w:rPr>
      <w:rFonts w:ascii="Segoe UI" w:eastAsia="Times New Roman" w:hAnsi="Segoe UI" w:cs="Segoe UI"/>
      <w:sz w:val="18"/>
      <w:szCs w:val="18"/>
      <w:lang w:val="sl-SI"/>
    </w:rPr>
  </w:style>
  <w:style w:type="character" w:styleId="Referencakomentara">
    <w:name w:val="annotation reference"/>
    <w:basedOn w:val="Zadanifontodlomka"/>
    <w:uiPriority w:val="99"/>
    <w:semiHidden/>
    <w:unhideWhenUsed/>
    <w:rsid w:val="00096BD6"/>
    <w:rPr>
      <w:sz w:val="16"/>
      <w:szCs w:val="16"/>
    </w:rPr>
  </w:style>
  <w:style w:type="paragraph" w:styleId="Tekstkomentara">
    <w:name w:val="annotation text"/>
    <w:basedOn w:val="Normal"/>
    <w:link w:val="TekstkomentaraChar"/>
    <w:uiPriority w:val="99"/>
    <w:semiHidden/>
    <w:unhideWhenUsed/>
    <w:rsid w:val="00096BD6"/>
    <w:rPr>
      <w:sz w:val="20"/>
    </w:rPr>
  </w:style>
  <w:style w:type="character" w:customStyle="1" w:styleId="TekstkomentaraChar">
    <w:name w:val="Tekst komentara Char"/>
    <w:basedOn w:val="Zadanifontodlomka"/>
    <w:link w:val="Tekstkomentara"/>
    <w:uiPriority w:val="99"/>
    <w:semiHidden/>
    <w:rsid w:val="00096BD6"/>
    <w:rPr>
      <w:rFonts w:ascii="Times New Roman" w:eastAsia="Times New Roman" w:hAnsi="Times New Roman" w:cs="Times New Roman"/>
      <w:sz w:val="20"/>
      <w:szCs w:val="20"/>
      <w:lang w:val="sl-SI"/>
    </w:rPr>
  </w:style>
  <w:style w:type="paragraph" w:styleId="Predmetkomentara">
    <w:name w:val="annotation subject"/>
    <w:basedOn w:val="Tekstkomentara"/>
    <w:next w:val="Tekstkomentara"/>
    <w:link w:val="PredmetkomentaraChar"/>
    <w:uiPriority w:val="99"/>
    <w:semiHidden/>
    <w:unhideWhenUsed/>
    <w:rsid w:val="00096BD6"/>
    <w:rPr>
      <w:b/>
      <w:bCs/>
    </w:rPr>
  </w:style>
  <w:style w:type="character" w:customStyle="1" w:styleId="PredmetkomentaraChar">
    <w:name w:val="Predmet komentara Char"/>
    <w:basedOn w:val="TekstkomentaraChar"/>
    <w:link w:val="Predmetkomentara"/>
    <w:uiPriority w:val="99"/>
    <w:semiHidden/>
    <w:rsid w:val="00096BD6"/>
    <w:rPr>
      <w:rFonts w:ascii="Times New Roman" w:eastAsia="Times New Roman" w:hAnsi="Times New Roman" w:cs="Times New Roman"/>
      <w:b/>
      <w:bCs/>
      <w:sz w:val="20"/>
      <w:szCs w:val="20"/>
      <w:lang w:val="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3891766">
      <w:bodyDiv w:val="1"/>
      <w:marLeft w:val="0"/>
      <w:marRight w:val="0"/>
      <w:marTop w:val="0"/>
      <w:marBottom w:val="0"/>
      <w:divBdr>
        <w:top w:val="none" w:sz="0" w:space="0" w:color="auto"/>
        <w:left w:val="none" w:sz="0" w:space="0" w:color="auto"/>
        <w:bottom w:val="none" w:sz="0" w:space="0" w:color="auto"/>
        <w:right w:val="none" w:sz="0" w:space="0" w:color="auto"/>
      </w:divBdr>
    </w:div>
    <w:div w:id="477574782">
      <w:bodyDiv w:val="1"/>
      <w:marLeft w:val="0"/>
      <w:marRight w:val="0"/>
      <w:marTop w:val="0"/>
      <w:marBottom w:val="0"/>
      <w:divBdr>
        <w:top w:val="none" w:sz="0" w:space="0" w:color="auto"/>
        <w:left w:val="none" w:sz="0" w:space="0" w:color="auto"/>
        <w:bottom w:val="none" w:sz="0" w:space="0" w:color="auto"/>
        <w:right w:val="none" w:sz="0" w:space="0" w:color="auto"/>
      </w:divBdr>
    </w:div>
    <w:div w:id="523442133">
      <w:bodyDiv w:val="1"/>
      <w:marLeft w:val="0"/>
      <w:marRight w:val="0"/>
      <w:marTop w:val="0"/>
      <w:marBottom w:val="0"/>
      <w:divBdr>
        <w:top w:val="none" w:sz="0" w:space="0" w:color="auto"/>
        <w:left w:val="none" w:sz="0" w:space="0" w:color="auto"/>
        <w:bottom w:val="none" w:sz="0" w:space="0" w:color="auto"/>
        <w:right w:val="none" w:sz="0" w:space="0" w:color="auto"/>
      </w:divBdr>
    </w:div>
    <w:div w:id="608244596">
      <w:bodyDiv w:val="1"/>
      <w:marLeft w:val="0"/>
      <w:marRight w:val="0"/>
      <w:marTop w:val="0"/>
      <w:marBottom w:val="0"/>
      <w:divBdr>
        <w:top w:val="none" w:sz="0" w:space="0" w:color="auto"/>
        <w:left w:val="none" w:sz="0" w:space="0" w:color="auto"/>
        <w:bottom w:val="none" w:sz="0" w:space="0" w:color="auto"/>
        <w:right w:val="none" w:sz="0" w:space="0" w:color="auto"/>
      </w:divBdr>
    </w:div>
    <w:div w:id="612056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D29A5C-2AAC-4DBC-B22B-A5D51E1F4E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1607</Words>
  <Characters>9166</Characters>
  <Application>Microsoft Office Word</Application>
  <DocSecurity>4</DocSecurity>
  <Lines>76</Lines>
  <Paragraphs>21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Vlatka Prskalo</dc:creator>
  <cp:keywords/>
  <dc:description/>
  <cp:lastModifiedBy>Vlatka Prskalo</cp:lastModifiedBy>
  <cp:revision>2</cp:revision>
  <cp:lastPrinted>2026-03-10T11:20:00Z</cp:lastPrinted>
  <dcterms:created xsi:type="dcterms:W3CDTF">2026-03-12T10:13:00Z</dcterms:created>
  <dcterms:modified xsi:type="dcterms:W3CDTF">2026-03-12T10:13:00Z</dcterms:modified>
</cp:coreProperties>
</file>